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righ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rFonts w:hint="eastAsia" w:ascii="仿宋_GB2312" w:hAnsi="仿宋_GB2312" w:eastAsia="仿宋_GB2312" w:cs="仿宋_GB2312"/>
          <w:i w:val="0"/>
          <w:iCs w:val="0"/>
          <w:caps w:val="0"/>
          <w:color w:val="333333"/>
          <w:spacing w:val="0"/>
          <w:sz w:val="32"/>
          <w:szCs w:val="32"/>
          <w:bdr w:val="none" w:color="auto" w:sz="0" w:space="0"/>
          <w:shd w:val="clear" w:fill="FFFFFF"/>
        </w:rPr>
      </w:pPr>
      <w:bookmarkStart w:id="0" w:name="_GoBack"/>
      <w:r>
        <w:rPr>
          <w:rFonts w:hint="eastAsia" w:ascii="仿宋_GB2312" w:hAnsi="仿宋_GB2312" w:eastAsia="仿宋_GB2312" w:cs="仿宋_GB2312"/>
          <w:i w:val="0"/>
          <w:iCs w:val="0"/>
          <w:caps w:val="0"/>
          <w:color w:val="333333"/>
          <w:spacing w:val="0"/>
          <w:sz w:val="32"/>
          <w:szCs w:val="32"/>
          <w:bdr w:val="none" w:color="auto" w:sz="0" w:space="0"/>
          <w:shd w:val="clear" w:fill="FFFFFF"/>
        </w:rPr>
        <w:t>重点任务分工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rFonts w:hint="eastAsia" w:ascii="宋体" w:hAnsi="宋体" w:eastAsia="宋体" w:cs="宋体"/>
          <w:i w:val="0"/>
          <w:iCs w:val="0"/>
          <w:caps w:val="0"/>
          <w:color w:val="333333"/>
          <w:spacing w:val="0"/>
          <w:sz w:val="43"/>
          <w:szCs w:val="43"/>
          <w:bdr w:val="none" w:color="auto" w:sz="0" w:space="0"/>
          <w:shd w:val="clear" w:fill="FFFFFF"/>
        </w:rPr>
      </w:pPr>
    </w:p>
    <w:tbl>
      <w:tblPr>
        <w:tblW w:w="8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766"/>
        <w:gridCol w:w="4839"/>
        <w:gridCol w:w="28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35" w:hRule="atLeast"/>
        </w:trPr>
        <w:tc>
          <w:tcPr>
            <w:tcW w:w="765" w:type="dxa"/>
            <w:tcBorders>
              <w:top w:val="single" w:color="auto" w:sz="6" w:space="0"/>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序号</w:t>
            </w:r>
          </w:p>
        </w:tc>
        <w:tc>
          <w:tcPr>
            <w:tcW w:w="4830" w:type="dxa"/>
            <w:tcBorders>
              <w:top w:val="single" w:color="auto" w:sz="6" w:space="0"/>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工作任务</w:t>
            </w:r>
          </w:p>
        </w:tc>
        <w:tc>
          <w:tcPr>
            <w:tcW w:w="2880" w:type="dxa"/>
            <w:tcBorders>
              <w:top w:val="single" w:color="auto" w:sz="6" w:space="0"/>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1050" w:right="540"/>
              <w:jc w:val="center"/>
              <w:rPr>
                <w:sz w:val="24"/>
                <w:szCs w:val="24"/>
              </w:rPr>
            </w:pPr>
            <w:r>
              <w:rPr>
                <w:rFonts w:hint="default" w:ascii="Times New Roman" w:hAnsi="Times New Roman" w:cs="Times New Roman"/>
                <w:color w:val="000000"/>
                <w:sz w:val="28"/>
                <w:szCs w:val="28"/>
                <w:bdr w:val="none" w:color="auto" w:sz="0" w:space="0"/>
              </w:rPr>
              <w:t>负责单位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人民政府要建立健全防范和处置非法集资工作领导小组工作机制，做好人员、经费等保障工作；建立目标责任制，将防范和处置非法集资工作纳入各级领导班子和领导干部综合考核评价内容；进一步规范约束公务员参与民间经济金融活动。</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2</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各行业主管、监管部门将防控本行业领域非法集资作为履行监管职责的重要内容，加强日常监管。</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有关行业主管、监管部门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59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3</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对未明确主管、监管部门的行业领域，各级人民政府要组织协调相关部门强化综合监管，综合运用信用分类监管、定向抽查检查、信息公示、风险警示约谈、市场准入限制等手段，探索建立多部门联动综合执法机制。</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各县区政府，市处非领导小组成员单位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4</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建立立体化、社会化、信息化的地方监测预警体系。</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各县区政府，市处非领导小组成员单位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1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5</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加强金融机构内部管理和社会宣传工作，指导和督促金融机构做好对涉嫌非法集资可疑资金的监测制度，建立问责制度。</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市金融发展局、</w:t>
            </w:r>
            <w:r>
              <w:rPr>
                <w:rFonts w:ascii="仿宋_GB2312" w:eastAsia="仿宋_GB2312" w:cs="仿宋_GB2312"/>
                <w:color w:val="000000"/>
                <w:sz w:val="28"/>
                <w:szCs w:val="28"/>
                <w:bdr w:val="none" w:color="auto" w:sz="0" w:space="0"/>
              </w:rPr>
              <w:t>中国</w:t>
            </w:r>
            <w:r>
              <w:rPr>
                <w:rFonts w:hint="default" w:ascii="Times New Roman" w:hAnsi="Times New Roman" w:cs="Times New Roman"/>
                <w:color w:val="000000"/>
                <w:sz w:val="28"/>
                <w:szCs w:val="28"/>
                <w:bdr w:val="none" w:color="auto" w:sz="0" w:space="0"/>
              </w:rPr>
              <w:t>人民银行阜新</w:t>
            </w:r>
            <w:r>
              <w:rPr>
                <w:rFonts w:hint="eastAsia" w:ascii="仿宋_GB2312" w:eastAsia="仿宋_GB2312" w:cs="仿宋_GB2312"/>
                <w:color w:val="000000"/>
                <w:sz w:val="28"/>
                <w:szCs w:val="28"/>
                <w:bdr w:val="none" w:color="auto" w:sz="0" w:space="0"/>
              </w:rPr>
              <w:t>市</w:t>
            </w:r>
            <w:r>
              <w:rPr>
                <w:rFonts w:hint="default" w:ascii="Times New Roman" w:hAnsi="Times New Roman" w:cs="Times New Roman"/>
                <w:color w:val="000000"/>
                <w:sz w:val="28"/>
                <w:szCs w:val="28"/>
                <w:bdr w:val="none" w:color="auto" w:sz="0" w:space="0"/>
              </w:rPr>
              <w:t>中心支行、阜新银监分局等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8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6</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整合各</w:t>
            </w:r>
            <w:r>
              <w:rPr>
                <w:rFonts w:hint="eastAsia" w:ascii="仿宋_GB2312" w:eastAsia="仿宋_GB2312" w:cs="仿宋_GB2312"/>
                <w:color w:val="000000"/>
                <w:sz w:val="28"/>
                <w:szCs w:val="28"/>
                <w:bdr w:val="none" w:color="auto" w:sz="0" w:space="0"/>
              </w:rPr>
              <w:t>县</w:t>
            </w:r>
            <w:r>
              <w:rPr>
                <w:rFonts w:hint="default" w:ascii="Times New Roman" w:hAnsi="Times New Roman" w:cs="Times New Roman"/>
                <w:color w:val="000000"/>
                <w:sz w:val="28"/>
                <w:szCs w:val="28"/>
                <w:bdr w:val="none" w:color="auto" w:sz="0" w:space="0"/>
              </w:rPr>
              <w:t>区、有关部门信息资源，推动依法互通共享，进一步发挥好全国和省统一的信息共享交换平台</w:t>
            </w:r>
            <w:r>
              <w:rPr>
                <w:rFonts w:hint="eastAsia" w:ascii="仿宋_GB2312" w:eastAsia="仿宋_GB2312" w:cs="仿宋_GB2312"/>
                <w:color w:val="000000"/>
                <w:sz w:val="28"/>
                <w:szCs w:val="28"/>
                <w:bdr w:val="none" w:color="auto" w:sz="0" w:space="0"/>
              </w:rPr>
              <w:t>作用</w:t>
            </w:r>
            <w:r>
              <w:rPr>
                <w:rFonts w:hint="default" w:ascii="Times New Roman" w:hAnsi="Times New Roman" w:cs="Times New Roman"/>
                <w:color w:val="000000"/>
                <w:sz w:val="28"/>
                <w:szCs w:val="28"/>
                <w:bdr w:val="none" w:color="auto" w:sz="0" w:space="0"/>
              </w:rPr>
              <w:t>，加强风险研判，及时预警提示。</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市处非办、市发展改革委、市公安</w:t>
            </w:r>
            <w:r>
              <w:rPr>
                <w:rFonts w:hint="eastAsia" w:ascii="仿宋_GB2312" w:eastAsia="仿宋_GB2312" w:cs="仿宋_GB2312"/>
                <w:color w:val="000000"/>
                <w:sz w:val="28"/>
                <w:szCs w:val="28"/>
                <w:bdr w:val="none" w:color="auto" w:sz="0" w:space="0"/>
              </w:rPr>
              <w:t>局</w:t>
            </w:r>
            <w:r>
              <w:rPr>
                <w:rFonts w:hint="default" w:ascii="Times New Roman" w:hAnsi="Times New Roman" w:cs="Times New Roman"/>
                <w:color w:val="000000"/>
                <w:sz w:val="28"/>
                <w:szCs w:val="28"/>
                <w:bdr w:val="none" w:color="auto" w:sz="0" w:space="0"/>
              </w:rPr>
              <w:t>、市工商局、市法院、</w:t>
            </w:r>
            <w:r>
              <w:rPr>
                <w:rFonts w:hint="eastAsia" w:ascii="仿宋_GB2312" w:eastAsia="仿宋_GB2312" w:cs="仿宋_GB2312"/>
                <w:color w:val="000000"/>
                <w:sz w:val="28"/>
                <w:szCs w:val="28"/>
                <w:bdr w:val="none" w:color="auto" w:sz="0" w:space="0"/>
              </w:rPr>
              <w:t>中国</w:t>
            </w:r>
            <w:r>
              <w:rPr>
                <w:rFonts w:hint="default" w:ascii="Times New Roman" w:hAnsi="Times New Roman" w:cs="Times New Roman"/>
                <w:color w:val="000000"/>
                <w:sz w:val="28"/>
                <w:szCs w:val="28"/>
                <w:bdr w:val="none" w:color="auto" w:sz="0" w:space="0"/>
              </w:rPr>
              <w:t>人民银行阜新</w:t>
            </w:r>
            <w:r>
              <w:rPr>
                <w:rFonts w:hint="eastAsia" w:ascii="仿宋_GB2312" w:eastAsia="仿宋_GB2312" w:cs="仿宋_GB2312"/>
                <w:color w:val="000000"/>
                <w:sz w:val="28"/>
                <w:szCs w:val="28"/>
                <w:bdr w:val="none" w:color="auto" w:sz="0" w:space="0"/>
              </w:rPr>
              <w:t>市</w:t>
            </w:r>
            <w:r>
              <w:rPr>
                <w:rFonts w:hint="default" w:ascii="Times New Roman" w:hAnsi="Times New Roman" w:cs="Times New Roman"/>
                <w:color w:val="000000"/>
                <w:sz w:val="28"/>
                <w:szCs w:val="28"/>
                <w:bdr w:val="none" w:color="auto" w:sz="0" w:space="0"/>
              </w:rPr>
              <w:t>中心支行等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7</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建立非法集资举报奖励制度，做好保密、人身安全保护等工作。</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pacing w:val="0"/>
                <w:sz w:val="28"/>
                <w:szCs w:val="28"/>
                <w:bdr w:val="none" w:color="auto" w:sz="0" w:space="0"/>
              </w:rPr>
              <w:t>各县区政府，市公安局、市财政局、市法院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1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8</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密切关注投资理财、非融资性担保、P2P</w:t>
            </w:r>
            <w:r>
              <w:rPr>
                <w:rFonts w:hint="eastAsia" w:ascii="仿宋_GB2312" w:eastAsia="仿宋_GB2312" w:cs="仿宋_GB2312"/>
                <w:color w:val="000000"/>
                <w:sz w:val="28"/>
                <w:szCs w:val="28"/>
                <w:bdr w:val="none" w:color="auto" w:sz="0" w:space="0"/>
              </w:rPr>
              <w:t>网络借贷、投资公司、农民专业合作社、民办教育机构、养老机构等风险领域和风险点，加强风险监控，及时化解处置。</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各县区政府，市处非领导小组成员单位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1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9</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统筹调配力量，抓住重点环节，及时发现并快速、全面、深入侦办案件；依法配合开展涉案资产查封、资金账户查询和冻结等协助工作。</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市公安局、</w:t>
            </w:r>
            <w:r>
              <w:rPr>
                <w:rFonts w:hint="eastAsia" w:ascii="仿宋_GB2312" w:eastAsia="仿宋_GB2312" w:cs="仿宋_GB2312"/>
                <w:color w:val="000000"/>
                <w:sz w:val="28"/>
                <w:szCs w:val="28"/>
                <w:bdr w:val="none" w:color="auto" w:sz="0" w:space="0"/>
              </w:rPr>
              <w:t>中国</w:t>
            </w:r>
            <w:r>
              <w:rPr>
                <w:rFonts w:hint="default" w:ascii="Times New Roman" w:hAnsi="Times New Roman" w:cs="Times New Roman"/>
                <w:color w:val="000000"/>
                <w:sz w:val="28"/>
                <w:szCs w:val="28"/>
                <w:bdr w:val="none" w:color="auto" w:sz="0" w:space="0"/>
              </w:rPr>
              <w:t>人民银行阜新</w:t>
            </w:r>
            <w:r>
              <w:rPr>
                <w:rFonts w:hint="eastAsia" w:ascii="仿宋_GB2312" w:eastAsia="仿宋_GB2312" w:cs="仿宋_GB2312"/>
                <w:color w:val="000000"/>
                <w:sz w:val="28"/>
                <w:szCs w:val="28"/>
                <w:bdr w:val="none" w:color="auto" w:sz="0" w:space="0"/>
              </w:rPr>
              <w:t>市</w:t>
            </w:r>
            <w:r>
              <w:rPr>
                <w:rFonts w:hint="default" w:ascii="Times New Roman" w:hAnsi="Times New Roman" w:cs="Times New Roman"/>
                <w:color w:val="000000"/>
                <w:sz w:val="28"/>
                <w:szCs w:val="28"/>
                <w:bdr w:val="none" w:color="auto" w:sz="0" w:space="0"/>
              </w:rPr>
              <w:t>中心支行、阜新银监分局等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59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10</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依法稳妥处置跨省、跨市</w:t>
            </w:r>
            <w:r>
              <w:rPr>
                <w:rFonts w:hint="eastAsia" w:ascii="仿宋_GB2312" w:eastAsia="仿宋_GB2312" w:cs="仿宋_GB2312"/>
                <w:color w:val="000000"/>
                <w:sz w:val="28"/>
                <w:szCs w:val="28"/>
                <w:bdr w:val="none" w:color="auto" w:sz="0" w:space="0"/>
              </w:rPr>
              <w:t>、跨县区</w:t>
            </w:r>
            <w:r>
              <w:rPr>
                <w:rFonts w:hint="default" w:ascii="Times New Roman" w:hAnsi="Times New Roman" w:cs="Times New Roman"/>
                <w:color w:val="000000"/>
                <w:sz w:val="28"/>
                <w:szCs w:val="28"/>
                <w:bdr w:val="none" w:color="auto" w:sz="0" w:space="0"/>
              </w:rPr>
              <w:t>案件，坚持统一指挥协调、统一办案要求、统一资产处置、分别侦查诉讼、分别落实维稳责任的工作原则。</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市处非办、市维稳办、市公安局、市法院、市检察院、各县区政府处非办等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1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11</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落实维稳属地责任，畅通群众诉求反映渠道，及时回应群众诉求，积极导</w:t>
            </w:r>
            <w:r>
              <w:rPr>
                <w:rFonts w:hint="eastAsia" w:ascii="仿宋_GB2312" w:eastAsia="仿宋_GB2312" w:cs="仿宋_GB2312"/>
                <w:color w:val="000000"/>
                <w:sz w:val="28"/>
                <w:szCs w:val="28"/>
                <w:bdr w:val="none" w:color="auto" w:sz="0" w:space="0"/>
              </w:rPr>
              <w:t>入</w:t>
            </w:r>
            <w:r>
              <w:rPr>
                <w:rFonts w:hint="default" w:ascii="Times New Roman" w:hAnsi="Times New Roman" w:cs="Times New Roman"/>
                <w:color w:val="000000"/>
                <w:sz w:val="28"/>
                <w:szCs w:val="28"/>
                <w:bdr w:val="none" w:color="auto" w:sz="0" w:space="0"/>
              </w:rPr>
              <w:t>法治轨道。</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各县区政府及各有关行业主管（监管）部门，</w:t>
            </w:r>
            <w:r>
              <w:rPr>
                <w:rFonts w:hint="eastAsia" w:ascii="仿宋_GB2312" w:eastAsia="仿宋_GB2312" w:cs="仿宋_GB2312"/>
                <w:color w:val="000000"/>
                <w:sz w:val="28"/>
                <w:szCs w:val="28"/>
                <w:bdr w:val="none" w:color="auto" w:sz="0" w:space="0"/>
              </w:rPr>
              <w:t>市信访局</w:t>
            </w:r>
            <w:r>
              <w:rPr>
                <w:rFonts w:hint="default" w:ascii="Times New Roman" w:hAnsi="Times New Roman" w:cs="Times New Roman"/>
                <w:color w:val="000000"/>
                <w:sz w:val="28"/>
                <w:szCs w:val="28"/>
                <w:bdr w:val="none" w:color="auto" w:sz="0" w:space="0"/>
              </w:rPr>
              <w:t>，</w:t>
            </w:r>
            <w:r>
              <w:rPr>
                <w:rFonts w:hint="eastAsia" w:ascii="仿宋_GB2312" w:eastAsia="仿宋_GB2312" w:cs="仿宋_GB2312"/>
                <w:color w:val="000000"/>
                <w:sz w:val="28"/>
                <w:szCs w:val="28"/>
                <w:bdr w:val="none" w:color="auto" w:sz="0" w:space="0"/>
              </w:rPr>
              <w:t>市</w:t>
            </w:r>
            <w:r>
              <w:rPr>
                <w:rFonts w:hint="default" w:ascii="Times New Roman" w:hAnsi="Times New Roman" w:cs="Times New Roman"/>
                <w:color w:val="000000"/>
                <w:sz w:val="28"/>
                <w:szCs w:val="28"/>
                <w:bdr w:val="none" w:color="auto" w:sz="0" w:space="0"/>
              </w:rPr>
              <w:t>维稳办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12</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根据中央和省政府层面制定防范和处置非法集资宣传总体规划，推动全市范围内的宣传教育工作。</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市处非领导小组成员单位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13</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制定防范和处置非法集资法律政策宣传方案，有针对性地开展本行业领域宣传教育活动。</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pacing w:val="0"/>
                <w:sz w:val="28"/>
                <w:szCs w:val="28"/>
                <w:bdr w:val="none" w:color="auto" w:sz="0" w:space="0"/>
              </w:rPr>
              <w:t>各有关行业主管、监管部门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14</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建立健全常态化的地方防范和处置非法集资宣传教育工作机制，实现宣传教育广覆盖。</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15</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加强广告监测和检查，强化媒体自律责任，封堵涉嫌非法集资的资讯信息。</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w:t>
            </w:r>
            <w:r>
              <w:rPr>
                <w:rFonts w:hint="eastAsia" w:ascii="仿宋_GB2312" w:eastAsia="仿宋_GB2312" w:cs="仿宋_GB2312"/>
                <w:color w:val="000000"/>
                <w:sz w:val="28"/>
                <w:szCs w:val="28"/>
                <w:bdr w:val="none" w:color="auto" w:sz="0" w:space="0"/>
              </w:rPr>
              <w:t>，</w:t>
            </w:r>
            <w:r>
              <w:rPr>
                <w:rFonts w:hint="default" w:ascii="Times New Roman" w:hAnsi="Times New Roman" w:cs="Times New Roman"/>
                <w:color w:val="000000"/>
                <w:sz w:val="28"/>
                <w:szCs w:val="28"/>
                <w:bdr w:val="none" w:color="auto" w:sz="0" w:space="0"/>
              </w:rPr>
              <w:t>市委宣传</w:t>
            </w:r>
            <w:r>
              <w:rPr>
                <w:rFonts w:hint="eastAsia" w:ascii="仿宋_GB2312" w:eastAsia="仿宋_GB2312" w:cs="仿宋_GB2312"/>
                <w:color w:val="000000"/>
                <w:sz w:val="28"/>
                <w:szCs w:val="28"/>
                <w:bdr w:val="none" w:color="auto" w:sz="0" w:space="0"/>
              </w:rPr>
              <w:t>部、</w:t>
            </w:r>
            <w:r>
              <w:rPr>
                <w:rFonts w:hint="default" w:ascii="Times New Roman" w:hAnsi="Times New Roman" w:cs="Times New Roman"/>
                <w:color w:val="000000"/>
                <w:sz w:val="28"/>
                <w:szCs w:val="28"/>
                <w:bdr w:val="none" w:color="auto" w:sz="0" w:space="0"/>
              </w:rPr>
              <w:t>市工商局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0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16</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建立健全防范和处置非法集资信息共享、风险排查、事件处置、协调办案、责任追究、激励约束等制度，制定完善处置非法集资工作操作流程。</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市处非领导小组成员单位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1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17</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不断提升金融服务实体经济的质量和水平，不断完善金融市场体系，推动健全多层次资本市场体系，鼓励、规范和引导民间资本进入金融服务领域，大力发展普惠金融。</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市金融发展局</w:t>
            </w:r>
            <w:r>
              <w:rPr>
                <w:rFonts w:hint="eastAsia" w:ascii="仿宋_GB2312" w:eastAsia="仿宋_GB2312" w:cs="仿宋_GB2312"/>
                <w:color w:val="000000"/>
                <w:sz w:val="28"/>
                <w:szCs w:val="28"/>
                <w:bdr w:val="none" w:color="auto" w:sz="0" w:space="0"/>
              </w:rPr>
              <w:t>，中国</w:t>
            </w:r>
            <w:r>
              <w:rPr>
                <w:rFonts w:hint="default" w:ascii="Times New Roman" w:hAnsi="Times New Roman" w:cs="Times New Roman"/>
                <w:color w:val="000000"/>
                <w:sz w:val="28"/>
                <w:szCs w:val="28"/>
                <w:bdr w:val="none" w:color="auto" w:sz="0" w:space="0"/>
              </w:rPr>
              <w:t>人民银行阜新</w:t>
            </w:r>
            <w:r>
              <w:rPr>
                <w:rFonts w:hint="eastAsia" w:ascii="仿宋_GB2312" w:eastAsia="仿宋_GB2312" w:cs="仿宋_GB2312"/>
                <w:color w:val="000000"/>
                <w:sz w:val="28"/>
                <w:szCs w:val="28"/>
                <w:bdr w:val="none" w:color="auto" w:sz="0" w:space="0"/>
              </w:rPr>
              <w:t>市</w:t>
            </w:r>
            <w:r>
              <w:rPr>
                <w:rFonts w:hint="default" w:ascii="Times New Roman" w:hAnsi="Times New Roman" w:cs="Times New Roman"/>
                <w:color w:val="000000"/>
                <w:sz w:val="28"/>
                <w:szCs w:val="28"/>
                <w:bdr w:val="none" w:color="auto" w:sz="0" w:space="0"/>
              </w:rPr>
              <w:t>中心支行、阜新银监分局等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0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18</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鼓励和引导民间投融资健康发展，大幅放宽民间投资市场准入，拓展民间投融资渠道。</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市发展改革委、市金融发展局</w:t>
            </w:r>
            <w:r>
              <w:rPr>
                <w:rFonts w:hint="eastAsia" w:ascii="仿宋_GB2312" w:eastAsia="仿宋_GB2312" w:cs="仿宋_GB2312"/>
                <w:color w:val="000000"/>
                <w:sz w:val="28"/>
                <w:szCs w:val="28"/>
                <w:bdr w:val="none" w:color="auto" w:sz="0" w:space="0"/>
              </w:rPr>
              <w:t>，</w:t>
            </w:r>
            <w:r>
              <w:rPr>
                <w:rFonts w:hint="default" w:ascii="Times New Roman" w:hAnsi="Times New Roman" w:cs="Times New Roman"/>
                <w:color w:val="000000"/>
                <w:sz w:val="28"/>
                <w:szCs w:val="28"/>
                <w:bdr w:val="none" w:color="auto" w:sz="0" w:space="0"/>
              </w:rPr>
              <w:t>阜新银监分局等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1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19</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完善民间借贷日常信息监测机制，引导民间借贷利率合理化。</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pacing w:val="0"/>
                <w:sz w:val="28"/>
                <w:szCs w:val="28"/>
                <w:bdr w:val="none" w:color="auto" w:sz="0" w:space="0"/>
              </w:rPr>
              <w:t>市、县区政府金融</w:t>
            </w:r>
            <w:r>
              <w:rPr>
                <w:rFonts w:hint="eastAsia" w:ascii="仿宋_GB2312" w:eastAsia="仿宋_GB2312" w:cs="仿宋_GB2312"/>
                <w:color w:val="000000"/>
                <w:spacing w:val="0"/>
                <w:sz w:val="28"/>
                <w:szCs w:val="28"/>
                <w:bdr w:val="none" w:color="auto" w:sz="0" w:space="0"/>
              </w:rPr>
              <w:t>发展部门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5"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20</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积极协调电视台及报纸等媒体，根据处非工作需要，做好防范非法集资媒体宣传工作。</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市委宣传部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60" w:hRule="atLeast"/>
        </w:trPr>
        <w:tc>
          <w:tcPr>
            <w:tcW w:w="765" w:type="dxa"/>
            <w:tcBorders>
              <w:top w:val="nil"/>
              <w:left w:val="single" w:color="auto" w:sz="6" w:space="0"/>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center"/>
              <w:rPr>
                <w:sz w:val="24"/>
                <w:szCs w:val="24"/>
              </w:rPr>
            </w:pPr>
            <w:r>
              <w:rPr>
                <w:rFonts w:hint="default" w:ascii="Times New Roman" w:hAnsi="Times New Roman" w:cs="Times New Roman"/>
                <w:color w:val="000000"/>
                <w:sz w:val="28"/>
                <w:szCs w:val="28"/>
                <w:bdr w:val="none" w:color="auto" w:sz="0" w:space="0"/>
              </w:rPr>
              <w:t>21</w:t>
            </w:r>
          </w:p>
        </w:tc>
        <w:tc>
          <w:tcPr>
            <w:tcW w:w="483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推进完善社会信用体系，逐步建立完善全国和省统一、公开、透明的信用信息共享交换平台，营造诚实守信的金融生态环境。</w:t>
            </w:r>
          </w:p>
        </w:tc>
        <w:tc>
          <w:tcPr>
            <w:tcW w:w="2880" w:type="dxa"/>
            <w:tcBorders>
              <w:top w:val="nil"/>
              <w:left w:val="nil"/>
              <w:bottom w:val="single" w:color="auto" w:sz="6" w:space="0"/>
              <w:right w:val="single" w:color="auto" w:sz="6" w:space="0"/>
            </w:tcBorders>
            <w:shd w:val="clear"/>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sz w:val="24"/>
                <w:szCs w:val="24"/>
              </w:rPr>
            </w:pPr>
            <w:r>
              <w:rPr>
                <w:rFonts w:hint="default" w:ascii="Times New Roman" w:hAnsi="Times New Roman" w:cs="Times New Roman"/>
                <w:color w:val="000000"/>
                <w:sz w:val="28"/>
                <w:szCs w:val="28"/>
                <w:bdr w:val="none" w:color="auto" w:sz="0" w:space="0"/>
              </w:rPr>
              <w:t>各县区政府，市发展改革委</w:t>
            </w:r>
            <w:r>
              <w:rPr>
                <w:rFonts w:hint="eastAsia" w:ascii="仿宋_GB2312" w:eastAsia="仿宋_GB2312" w:cs="仿宋_GB2312"/>
                <w:color w:val="000000"/>
                <w:sz w:val="28"/>
                <w:szCs w:val="28"/>
                <w:bdr w:val="none" w:color="auto" w:sz="0" w:space="0"/>
              </w:rPr>
              <w:t>，中国</w:t>
            </w:r>
            <w:r>
              <w:rPr>
                <w:rFonts w:hint="default" w:ascii="Times New Roman" w:hAnsi="Times New Roman" w:cs="Times New Roman"/>
                <w:color w:val="000000"/>
                <w:sz w:val="28"/>
                <w:szCs w:val="28"/>
                <w:bdr w:val="none" w:color="auto" w:sz="0" w:space="0"/>
              </w:rPr>
              <w:t>人民银行阜新</w:t>
            </w:r>
            <w:r>
              <w:rPr>
                <w:rFonts w:hint="eastAsia" w:ascii="仿宋_GB2312" w:eastAsia="仿宋_GB2312" w:cs="仿宋_GB2312"/>
                <w:color w:val="000000"/>
                <w:sz w:val="28"/>
                <w:szCs w:val="28"/>
                <w:bdr w:val="none" w:color="auto" w:sz="0" w:space="0"/>
              </w:rPr>
              <w:t>市</w:t>
            </w:r>
            <w:r>
              <w:rPr>
                <w:rFonts w:hint="default" w:ascii="Times New Roman" w:hAnsi="Times New Roman" w:cs="Times New Roman"/>
                <w:color w:val="000000"/>
                <w:sz w:val="28"/>
                <w:szCs w:val="28"/>
                <w:bdr w:val="none" w:color="auto" w:sz="0" w:space="0"/>
              </w:rPr>
              <w:t>中心支行等</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left"/>
        <w:rPr>
          <w:sz w:val="24"/>
          <w:szCs w:val="24"/>
        </w:rPr>
      </w:pPr>
      <w:r>
        <w:rPr>
          <w:rFonts w:hint="eastAsia" w:ascii="宋体" w:hAnsi="宋体" w:eastAsia="宋体" w:cs="宋体"/>
          <w:i w:val="0"/>
          <w:iCs w:val="0"/>
          <w:caps w:val="0"/>
          <w:color w:val="333333"/>
          <w:spacing w:val="0"/>
          <w:sz w:val="24"/>
          <w:szCs w:val="2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left"/>
        <w:rPr>
          <w:sz w:val="24"/>
          <w:szCs w:val="24"/>
        </w:rPr>
      </w:pPr>
      <w:r>
        <w:rPr>
          <w:rFonts w:ascii="等线" w:hAnsi="等线" w:eastAsia="等线" w:cs="等线"/>
          <w:i w:val="0"/>
          <w:iCs w:val="0"/>
          <w:caps w:val="0"/>
          <w:color w:val="333333"/>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宋体" w:hAnsi="宋体" w:eastAsia="宋体" w:cs="宋体"/>
          <w:i w:val="0"/>
          <w:iCs w:val="0"/>
          <w:caps w:val="0"/>
          <w:color w:val="000000"/>
          <w:spacing w:val="0"/>
          <w:sz w:val="31"/>
          <w:szCs w:val="31"/>
          <w:bdr w:val="none" w:color="auto" w:sz="0" w:space="0"/>
          <w:shd w:val="clear" w:fill="FFFFFF"/>
        </w:rPr>
      </w:pPr>
      <w:r>
        <w:rPr>
          <w:rFonts w:hint="eastAsia" w:ascii="宋体" w:hAnsi="宋体" w:eastAsia="宋体" w:cs="宋体"/>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宋体" w:hAnsi="宋体" w:eastAsia="宋体" w:cs="宋体"/>
          <w:i w:val="0"/>
          <w:iCs w:val="0"/>
          <w:caps w:val="0"/>
          <w:color w:val="000000"/>
          <w:spacing w:val="0"/>
          <w:sz w:val="31"/>
          <w:szCs w:val="31"/>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宋体" w:hAnsi="宋体" w:eastAsia="宋体" w:cs="宋体"/>
          <w:i w:val="0"/>
          <w:iCs w:val="0"/>
          <w:caps w:val="0"/>
          <w:color w:val="000000"/>
          <w:spacing w:val="0"/>
          <w:sz w:val="31"/>
          <w:szCs w:val="31"/>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sz w:val="24"/>
          <w:szCs w:val="24"/>
        </w:rPr>
      </w:pPr>
      <w:r>
        <w:rPr>
          <w:rFonts w:hint="eastAsia" w:ascii="宋体" w:hAnsi="宋体" w:eastAsia="宋体" w:cs="宋体"/>
          <w:i w:val="0"/>
          <w:iCs w:val="0"/>
          <w:caps w:val="0"/>
          <w:color w:val="333333"/>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left"/>
        <w:rPr>
          <w:sz w:val="24"/>
          <w:szCs w:val="2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i w:val="0"/>
          <w:iCs w:val="0"/>
          <w:caps w:val="0"/>
          <w:color w:val="333333"/>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sz w:val="24"/>
          <w:szCs w:val="24"/>
        </w:rPr>
      </w:pPr>
      <w:r>
        <w:rPr>
          <w:rFonts w:ascii="sans-serif" w:hAnsi="sans-serif" w:eastAsia="sans-serif" w:cs="sans-serif"/>
          <w:i w:val="0"/>
          <w:iCs w:val="0"/>
          <w:color w:val="000000"/>
          <w:spacing w:val="0"/>
          <w:sz w:val="21"/>
          <w:szCs w:val="21"/>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0546CF"/>
    <w:rsid w:val="2A491993"/>
    <w:rsid w:val="2F6F5177"/>
    <w:rsid w:val="307A4A59"/>
    <w:rsid w:val="3C4C70E2"/>
    <w:rsid w:val="59D45E52"/>
    <w:rsid w:val="5C0546CF"/>
    <w:rsid w:val="7D4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2022-01-05T07:44:00Z</dcterms:created>
  <dc:creator>A羊娃娃</dc:creator>
  <cp:lastModifiedBy>A羊娃娃</cp:lastModifiedBy>
  <dcterms:modified xsi:type="dcterms:W3CDTF">2022-01-05T07:59:27Z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B134B3C564434275BD3C8A3959344CD9</vt:lpwstr>
  </property>
</Properties>
</file>