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center"/>
        <w:rPr>
          <w:rFonts w:hint="eastAsia" w:asciiTheme="minorEastAsia" w:hAnsiTheme="minorEastAsia" w:eastAsiaTheme="minorEastAsia" w:cstheme="minorEastAsia"/>
          <w:sz w:val="44"/>
          <w:szCs w:val="44"/>
          <w:lang w:val="en-US" w:eastAsia="zh-CN"/>
        </w:rPr>
      </w:pPr>
      <w:r>
        <w:rPr>
          <w:sz w:val="44"/>
        </w:rPr>
        <mc:AlternateContent>
          <mc:Choice Requires="wps">
            <w:drawing>
              <wp:anchor distT="0" distB="0" distL="114300" distR="114300" simplePos="0" relativeHeight="251659264" behindDoc="0" locked="0" layoutInCell="1" allowOverlap="1">
                <wp:simplePos x="0" y="0"/>
                <wp:positionH relativeFrom="column">
                  <wp:posOffset>-422275</wp:posOffset>
                </wp:positionH>
                <wp:positionV relativeFrom="paragraph">
                  <wp:posOffset>-1139825</wp:posOffset>
                </wp:positionV>
                <wp:extent cx="1161415" cy="493395"/>
                <wp:effectExtent l="0" t="0" r="635" b="1905"/>
                <wp:wrapNone/>
                <wp:docPr id="1" name="文本框 1"/>
                <wp:cNvGraphicFramePr/>
                <a:graphic xmlns:a="http://schemas.openxmlformats.org/drawingml/2006/main">
                  <a:graphicData uri="http://schemas.microsoft.com/office/word/2010/wordprocessingShape">
                    <wps:wsp>
                      <wps:cNvSpPr txBox="1"/>
                      <wps:spPr>
                        <a:xfrm>
                          <a:off x="117475" y="97155"/>
                          <a:ext cx="1161415" cy="493395"/>
                        </a:xfrm>
                        <a:prstGeom prst="rect">
                          <a:avLst/>
                        </a:prstGeom>
                        <a:solidFill>
                          <a:schemeClr val="lt1"/>
                        </a:solidFill>
                        <a:ln w="12700">
                          <a:noFill/>
                        </a:ln>
                      </wps:spPr>
                      <wps:style>
                        <a:lnRef idx="0">
                          <a:schemeClr val="accent1"/>
                        </a:lnRef>
                        <a:fillRef idx="0">
                          <a:schemeClr val="accent1"/>
                        </a:fillRef>
                        <a:effectRef idx="0">
                          <a:schemeClr val="accent1"/>
                        </a:effectRef>
                        <a:fontRef idx="minor">
                          <a:schemeClr val="dk1"/>
                        </a:fontRef>
                      </wps:style>
                      <wps:txbx>
                        <w:txbxContent>
                          <w:p>
                            <w:pPr>
                              <w:jc w:val="both"/>
                              <w:rPr>
                                <w:rFonts w:hint="eastAsia" w:ascii="方正小标宋简体" w:hAnsi="方正小标宋简体" w:eastAsia="方正小标宋简体" w:cs="方正小标宋简体"/>
                                <w:b w:val="0"/>
                                <w:bCs w:val="0"/>
                                <w:color w:val="000000" w:themeColor="text1"/>
                                <w:sz w:val="28"/>
                                <w:szCs w:val="28"/>
                                <w:lang w:val="en-US" w:eastAsia="zh-CN"/>
                                <w14:textOutline w14:w="0" w14:cmpd="dbl">
                                  <w14:solidFill>
                                    <w14:schemeClr w14:val="tx1"/>
                                  </w14:solidFill>
                                  <w14:round/>
                                </w14:textOutline>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25pt;margin-top:-89.75pt;height:38.85pt;width:91.45pt;z-index:251659264;mso-width-relative:page;mso-height-relative:page;" fillcolor="#FFFFFF [3201]" filled="t" stroked="f" coordsize="21600,21600" o:gfxdata="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zp+FLa&#10;AAAADQEAAA8AAAAAAAAAAQAgAAAAIgAAAGRycy9kb3ducmV2LnhtbFBLAQIUABQAAAAIAIdO4kBM&#10;SLuEVwIAAJkEAAAOAAAAAAAAAAEAIAAAACkBAABkcnMvZTJvRG9jLnhtbFBLBQYAAAAABgAGAFkB&#10;AADyBQAAAAA=&#10;">
                <v:fill on="t" focussize="0,0"/>
                <v:stroke on="f" weight="1pt"/>
                <v:imagedata o:title=""/>
                <o:lock v:ext="edit" aspectratio="f"/>
                <v:textbox>
                  <w:txbxContent>
                    <w:p>
                      <w:pPr>
                        <w:jc w:val="both"/>
                        <w:rPr>
                          <w:rFonts w:hint="eastAsia" w:ascii="方正小标宋简体" w:hAnsi="方正小标宋简体" w:eastAsia="方正小标宋简体" w:cs="方正小标宋简体"/>
                          <w:b w:val="0"/>
                          <w:bCs w:val="0"/>
                          <w:color w:val="000000" w:themeColor="text1"/>
                          <w:sz w:val="28"/>
                          <w:szCs w:val="28"/>
                          <w:lang w:val="en-US" w:eastAsia="zh-CN"/>
                          <w14:textOutline w14:w="0" w14:cmpd="dbl">
                            <w14:solidFill>
                              <w14:schemeClr w14:val="tx1"/>
                            </w14:solidFill>
                            <w14:round/>
                          </w14:textOutline>
                          <w14:textFill>
                            <w14:solidFill>
                              <w14:schemeClr w14:val="tx1"/>
                            </w14:solidFill>
                          </w14:textFill>
                        </w:rPr>
                      </w:pPr>
                    </w:p>
                  </w:txbxContent>
                </v:textbox>
              </v:shape>
            </w:pict>
          </mc:Fallback>
        </mc:AlternateConten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44"/>
          <w:szCs w:val="44"/>
          <w:shd w:val="clear" w:fill="FFFFFF"/>
        </w:rPr>
      </w:pPr>
      <w:r>
        <w:rPr>
          <w:rFonts w:hint="eastAsia" w:ascii="宋体" w:hAnsi="宋体" w:eastAsia="宋体" w:cs="宋体"/>
          <w:i w:val="0"/>
          <w:iCs w:val="0"/>
          <w:caps w:val="0"/>
          <w:color w:val="333333"/>
          <w:spacing w:val="0"/>
          <w:sz w:val="44"/>
          <w:szCs w:val="44"/>
          <w:shd w:val="clear" w:fill="FFFFFF"/>
        </w:rPr>
        <w:t>阜新市人民政府办公室关于进一步加强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仿宋_GB2312" w:hAnsi="仿宋_GB2312" w:eastAsia="仿宋_GB2312" w:cs="仿宋_GB2312"/>
          <w:i w:val="0"/>
          <w:iCs w:val="0"/>
          <w:caps w:val="0"/>
          <w:color w:val="333333"/>
          <w:spacing w:val="0"/>
          <w:sz w:val="32"/>
          <w:szCs w:val="32"/>
          <w:shd w:val="clear" w:fill="FFFFFF"/>
        </w:rPr>
      </w:pPr>
      <w:r>
        <w:rPr>
          <w:rFonts w:hint="eastAsia" w:ascii="宋体" w:hAnsi="宋体" w:eastAsia="宋体" w:cs="宋体"/>
          <w:i w:val="0"/>
          <w:iCs w:val="0"/>
          <w:caps w:val="0"/>
          <w:color w:val="333333"/>
          <w:spacing w:val="0"/>
          <w:sz w:val="44"/>
          <w:szCs w:val="44"/>
          <w:shd w:val="clear" w:fill="FFFFFF"/>
        </w:rPr>
        <w:t>城市基础设施配套费收缴管理的通知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仿宋_GB2312" w:hAnsi="仿宋_GB2312" w:eastAsia="仿宋_GB2312" w:cs="仿宋_GB2312"/>
          <w:i w:val="0"/>
          <w:iCs w:val="0"/>
          <w:caps w:val="0"/>
          <w:color w:val="333333"/>
          <w:spacing w:val="0"/>
          <w:sz w:val="32"/>
          <w:szCs w:val="32"/>
          <w:shd w:val="clear"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iCs w:val="0"/>
          <w:caps w:val="0"/>
          <w:color w:val="333333"/>
          <w:spacing w:val="0"/>
          <w:sz w:val="32"/>
          <w:szCs w:val="32"/>
          <w:shd w:val="clear" w:fill="FFFFFF"/>
        </w:rPr>
        <w:t>阜政</w:t>
      </w:r>
      <w:r>
        <w:rPr>
          <w:rFonts w:hint="eastAsia" w:ascii="仿宋_GB2312" w:hAnsi="仿宋_GB2312" w:eastAsia="仿宋_GB2312" w:cs="仿宋_GB2312"/>
          <w:i w:val="0"/>
          <w:iCs w:val="0"/>
          <w:caps w:val="0"/>
          <w:color w:val="333333"/>
          <w:spacing w:val="0"/>
          <w:sz w:val="32"/>
          <w:szCs w:val="32"/>
          <w:shd w:val="clear" w:fill="FFFFFF"/>
          <w:lang w:val="en-US" w:eastAsia="zh-CN"/>
        </w:rPr>
        <w:t>办</w:t>
      </w:r>
      <w:r>
        <w:rPr>
          <w:rFonts w:hint="eastAsia" w:ascii="仿宋_GB2312" w:hAnsi="仿宋_GB2312" w:eastAsia="仿宋_GB2312" w:cs="仿宋_GB2312"/>
          <w:i w:val="0"/>
          <w:iCs w:val="0"/>
          <w:caps w:val="0"/>
          <w:color w:val="333333"/>
          <w:spacing w:val="0"/>
          <w:sz w:val="32"/>
          <w:szCs w:val="32"/>
          <w:shd w:val="clear" w:fill="FFFFFF"/>
        </w:rPr>
        <w:t>发〔201</w:t>
      </w:r>
      <w:r>
        <w:rPr>
          <w:rFonts w:hint="eastAsia" w:ascii="仿宋_GB2312" w:hAnsi="仿宋_GB2312" w:eastAsia="仿宋_GB2312" w:cs="仿宋_GB2312"/>
          <w:i w:val="0"/>
          <w:iCs w:val="0"/>
          <w:caps w:val="0"/>
          <w:color w:val="333333"/>
          <w:spacing w:val="0"/>
          <w:sz w:val="32"/>
          <w:szCs w:val="32"/>
          <w:shd w:val="clear" w:fill="FFFFFF"/>
          <w:lang w:val="en-US" w:eastAsia="zh-CN"/>
        </w:rPr>
        <w:t>3</w:t>
      </w:r>
      <w:r>
        <w:rPr>
          <w:rFonts w:hint="eastAsia" w:ascii="仿宋_GB2312" w:hAnsi="仿宋_GB2312" w:eastAsia="仿宋_GB2312" w:cs="仿宋_GB2312"/>
          <w:i w:val="0"/>
          <w:iCs w:val="0"/>
          <w:caps w:val="0"/>
          <w:color w:val="333333"/>
          <w:spacing w:val="0"/>
          <w:sz w:val="32"/>
          <w:szCs w:val="32"/>
          <w:shd w:val="clear" w:fill="FFFFFF"/>
        </w:rPr>
        <w:t>〕</w:t>
      </w:r>
      <w:r>
        <w:rPr>
          <w:rFonts w:hint="eastAsia" w:ascii="仿宋_GB2312" w:hAnsi="仿宋_GB2312" w:eastAsia="仿宋_GB2312" w:cs="仿宋_GB2312"/>
          <w:i w:val="0"/>
          <w:iCs w:val="0"/>
          <w:caps w:val="0"/>
          <w:color w:val="333333"/>
          <w:spacing w:val="0"/>
          <w:sz w:val="32"/>
          <w:szCs w:val="32"/>
          <w:shd w:val="clear" w:fill="FFFFFF"/>
          <w:lang w:val="en-US" w:eastAsia="zh-CN"/>
        </w:rPr>
        <w:t>34</w:t>
      </w:r>
      <w:r>
        <w:rPr>
          <w:rFonts w:hint="eastAsia" w:ascii="仿宋_GB2312" w:hAnsi="仿宋_GB2312" w:eastAsia="仿宋_GB2312" w:cs="仿宋_GB2312"/>
          <w:i w:val="0"/>
          <w:iCs w:val="0"/>
          <w:caps w:val="0"/>
          <w:color w:val="333333"/>
          <w:spacing w:val="0"/>
          <w:sz w:val="32"/>
          <w:szCs w:val="32"/>
          <w:shd w:val="clear" w:fill="FFFFFF"/>
        </w:rPr>
        <w:t>号</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仿宋_GB2312" w:hAnsi="仿宋_GB2312" w:eastAsia="仿宋_GB2312" w:cs="仿宋_GB2312"/>
          <w:i w:val="0"/>
          <w:caps w:val="0"/>
          <w:color w:val="333333"/>
          <w:spacing w:val="0"/>
          <w:sz w:val="32"/>
          <w:szCs w:val="32"/>
          <w:shd w:val="clear" w:fill="FFFFFF"/>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仿宋_GB2312" w:hAnsi="仿宋_GB2312" w:eastAsia="仿宋_GB2312" w:cs="仿宋_GB2312"/>
          <w:i w:val="0"/>
          <w:caps w:val="0"/>
          <w:color w:val="333333"/>
          <w:spacing w:val="0"/>
          <w:sz w:val="32"/>
          <w:szCs w:val="32"/>
          <w:shd w:val="clear" w:fill="FFFFFF"/>
          <w:lang w:val="en-US" w:eastAsia="zh-CN"/>
        </w:rPr>
      </w:pPr>
      <w:r>
        <w:rPr>
          <w:rFonts w:hint="default" w:ascii="仿宋_GB2312" w:hAnsi="仿宋_GB2312" w:eastAsia="仿宋_GB2312" w:cs="仿宋_GB2312"/>
          <w:i w:val="0"/>
          <w:caps w:val="0"/>
          <w:color w:val="333333"/>
          <w:spacing w:val="0"/>
          <w:sz w:val="32"/>
          <w:szCs w:val="32"/>
          <w:shd w:val="clear" w:fill="FFFFFF"/>
          <w:lang w:val="en-US" w:eastAsia="zh-CN"/>
        </w:rPr>
        <w:t>各县、区人民政府，市政府各部门，中省直各单位：</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仿宋_GB2312" w:hAnsi="仿宋_GB2312" w:eastAsia="仿宋_GB2312" w:cs="仿宋_GB2312"/>
          <w:i w:val="0"/>
          <w:caps w:val="0"/>
          <w:color w:val="333333"/>
          <w:spacing w:val="0"/>
          <w:sz w:val="32"/>
          <w:szCs w:val="32"/>
          <w:shd w:val="clear" w:fill="FFFFFF"/>
          <w:lang w:val="en-US" w:eastAsia="zh-CN"/>
        </w:rPr>
      </w:pPr>
      <w:r>
        <w:rPr>
          <w:rFonts w:hint="default" w:ascii="仿宋_GB2312" w:hAnsi="仿宋_GB2312" w:eastAsia="仿宋_GB2312" w:cs="仿宋_GB2312"/>
          <w:i w:val="0"/>
          <w:caps w:val="0"/>
          <w:color w:val="333333"/>
          <w:spacing w:val="0"/>
          <w:sz w:val="32"/>
          <w:szCs w:val="32"/>
          <w:shd w:val="clear" w:fill="FFFFFF"/>
          <w:lang w:val="en-US" w:eastAsia="zh-CN"/>
        </w:rPr>
        <w:t>　　为进一步加强城市基础设施建设，做好我市城市基础设施配套费的征缴工作，发挥城市基础设施配套费资金的最大效益，经市政府同意，现就进一步加强城市基础设施配套费收缴管理的有关事项通知如下。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仿宋_GB2312" w:hAnsi="仿宋_GB2312" w:eastAsia="仿宋_GB2312" w:cs="仿宋_GB2312"/>
          <w:i w:val="0"/>
          <w:caps w:val="0"/>
          <w:color w:val="333333"/>
          <w:spacing w:val="0"/>
          <w:sz w:val="32"/>
          <w:szCs w:val="32"/>
          <w:shd w:val="clear" w:fill="FFFFFF"/>
          <w:lang w:val="en-US" w:eastAsia="zh-CN"/>
        </w:rPr>
      </w:pPr>
      <w:r>
        <w:rPr>
          <w:rFonts w:hint="default" w:ascii="仿宋_GB2312" w:hAnsi="仿宋_GB2312" w:eastAsia="仿宋_GB2312" w:cs="仿宋_GB2312"/>
          <w:i w:val="0"/>
          <w:caps w:val="0"/>
          <w:color w:val="333333"/>
          <w:spacing w:val="0"/>
          <w:sz w:val="32"/>
          <w:szCs w:val="32"/>
          <w:shd w:val="clear" w:fill="FFFFFF"/>
          <w:lang w:val="en-US" w:eastAsia="zh-CN"/>
        </w:rPr>
        <w:t>　　一、凡我市城市规划区域内实施建设的工程项目，按照工程项目建筑面积计征城市基础设施配套费，征收标准为住宅建筑每平方米121元，网点建筑每平方米156元，公共建筑每平方米106元，阁楼车库征收标准按照《关于城市基础设施配套费收缴工作有关问题的补充通知》（阜政办发〔2011〕47号）执行。</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仿宋_GB2312" w:hAnsi="仿宋_GB2312" w:eastAsia="仿宋_GB2312" w:cs="仿宋_GB2312"/>
          <w:i w:val="0"/>
          <w:caps w:val="0"/>
          <w:color w:val="333333"/>
          <w:spacing w:val="0"/>
          <w:sz w:val="32"/>
          <w:szCs w:val="32"/>
          <w:shd w:val="clear" w:fill="FFFFFF"/>
          <w:lang w:val="en-US" w:eastAsia="zh-CN"/>
        </w:rPr>
      </w:pPr>
      <w:r>
        <w:rPr>
          <w:rFonts w:hint="default" w:ascii="仿宋_GB2312" w:hAnsi="仿宋_GB2312" w:eastAsia="仿宋_GB2312" w:cs="仿宋_GB2312"/>
          <w:i w:val="0"/>
          <w:caps w:val="0"/>
          <w:color w:val="333333"/>
          <w:spacing w:val="0"/>
          <w:sz w:val="32"/>
          <w:szCs w:val="32"/>
          <w:shd w:val="clear" w:fill="FFFFFF"/>
          <w:lang w:val="en-US" w:eastAsia="zh-CN"/>
        </w:rPr>
        <w:t>　　二、城市基础设施配套费的征收管理工作由市财政局负责。市房屋开发征收管理办公室具体负责征收海州区、细河区、太平区行政区域内的城市基础设施配套费和新邱区、清河门区、经济开发区、高新区的消防设施配套费（每平方米6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仿宋_GB2312" w:hAnsi="仿宋_GB2312" w:eastAsia="仿宋_GB2312" w:cs="仿宋_GB2312"/>
          <w:i w:val="0"/>
          <w:caps w:val="0"/>
          <w:color w:val="333333"/>
          <w:spacing w:val="0"/>
          <w:sz w:val="32"/>
          <w:szCs w:val="32"/>
          <w:shd w:val="clear" w:fill="FFFFFF"/>
          <w:lang w:val="en-US" w:eastAsia="zh-CN"/>
        </w:rPr>
      </w:pPr>
      <w:r>
        <w:rPr>
          <w:rFonts w:hint="default" w:ascii="仿宋_GB2312" w:hAnsi="仿宋_GB2312" w:eastAsia="仿宋_GB2312" w:cs="仿宋_GB2312"/>
          <w:i w:val="0"/>
          <w:caps w:val="0"/>
          <w:color w:val="333333"/>
          <w:spacing w:val="0"/>
          <w:sz w:val="32"/>
          <w:szCs w:val="32"/>
          <w:shd w:val="clear" w:fill="FFFFFF"/>
          <w:lang w:val="en-US" w:eastAsia="zh-CN"/>
        </w:rPr>
        <w:t>　　三、城市基础设施配套费属于政府性基金，由财政部批准设立，除国家和省规定可以减免的重大项目外，任何单位和个人无权减免。但对于市政府投资的城市公共建筑确需减免城市基础设施配套费的特殊项目（文化、教育及政府投资类的工程），可由建设单位提出书面申请，经财政部门审核后，报市政府审批。</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仿宋_GB2312" w:hAnsi="仿宋_GB2312" w:eastAsia="仿宋_GB2312" w:cs="仿宋_GB2312"/>
          <w:i w:val="0"/>
          <w:caps w:val="0"/>
          <w:color w:val="333333"/>
          <w:spacing w:val="0"/>
          <w:sz w:val="32"/>
          <w:szCs w:val="32"/>
          <w:shd w:val="clear" w:fill="FFFFFF"/>
          <w:lang w:val="en-US" w:eastAsia="zh-CN"/>
        </w:rPr>
      </w:pPr>
      <w:r>
        <w:rPr>
          <w:rFonts w:hint="default" w:ascii="仿宋_GB2312" w:hAnsi="仿宋_GB2312" w:eastAsia="仿宋_GB2312" w:cs="仿宋_GB2312"/>
          <w:i w:val="0"/>
          <w:caps w:val="0"/>
          <w:color w:val="333333"/>
          <w:spacing w:val="0"/>
          <w:sz w:val="32"/>
          <w:szCs w:val="32"/>
          <w:shd w:val="clear" w:fill="FFFFFF"/>
          <w:lang w:val="en-US" w:eastAsia="zh-CN"/>
        </w:rPr>
        <w:t>　　四、城市基础设施配套费是城市基础设施建设的主要资金来源，各职能部门要高度重视和积极配合，在办理相关手续时要核验由市房屋开发征收管理办公室出具的《配套费核定通知书》，对未缴纳城市基础设施配套费的项目不予办理规划许可、施工许可、预售许可、工程验收和房产证等相关手续。</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仿宋_GB2312" w:hAnsi="仿宋_GB2312" w:eastAsia="仿宋_GB2312" w:cs="仿宋_GB2312"/>
          <w:i w:val="0"/>
          <w:caps w:val="0"/>
          <w:color w:val="333333"/>
          <w:spacing w:val="0"/>
          <w:sz w:val="32"/>
          <w:szCs w:val="32"/>
          <w:shd w:val="clear" w:fill="FFFFFF"/>
          <w:lang w:val="en-US" w:eastAsia="zh-CN"/>
        </w:rPr>
      </w:pPr>
      <w:r>
        <w:rPr>
          <w:rFonts w:hint="default" w:ascii="仿宋_GB2312" w:hAnsi="仿宋_GB2312" w:eastAsia="仿宋_GB2312" w:cs="仿宋_GB2312"/>
          <w:i w:val="0"/>
          <w:caps w:val="0"/>
          <w:color w:val="333333"/>
          <w:spacing w:val="0"/>
          <w:sz w:val="32"/>
          <w:szCs w:val="32"/>
          <w:shd w:val="clear" w:fill="FFFFFF"/>
          <w:lang w:val="en-US" w:eastAsia="zh-CN"/>
        </w:rPr>
        <w:t>　　五、建立城市基础设施配套费收缴稽查制度。在阜新市房屋开发征收管理办公室设立城市基础设施配套费收缴专门稽查部门，加大对欠缴城市基础设施配套费的单位和个人的追缴工作力度，避免财政资金流失。对欠缴单位和个人责令限期缴纳，对逾期拒不缴纳的单位和个人，通过法律手段解决。</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仿宋_GB2312" w:hAnsi="仿宋_GB2312" w:eastAsia="仿宋_GB2312" w:cs="仿宋_GB2312"/>
          <w:i w:val="0"/>
          <w:caps w:val="0"/>
          <w:color w:val="333333"/>
          <w:spacing w:val="0"/>
          <w:sz w:val="32"/>
          <w:szCs w:val="32"/>
          <w:shd w:val="clear" w:fill="FFFFFF"/>
          <w:lang w:val="en-US" w:eastAsia="zh-CN"/>
        </w:rPr>
      </w:pPr>
      <w:r>
        <w:rPr>
          <w:rFonts w:hint="default" w:ascii="仿宋_GB2312" w:hAnsi="仿宋_GB2312" w:eastAsia="仿宋_GB2312" w:cs="仿宋_GB2312"/>
          <w:i w:val="0"/>
          <w:caps w:val="0"/>
          <w:color w:val="333333"/>
          <w:spacing w:val="0"/>
          <w:sz w:val="32"/>
          <w:szCs w:val="32"/>
          <w:shd w:val="clear" w:fill="FFFFFF"/>
          <w:lang w:val="en-US" w:eastAsia="zh-CN"/>
        </w:rPr>
        <w:t>　　六、城市基础设施配套费的直接征收单位，应到同级财政部门办理《辽宁省非税收入征收委托证》，持证征收。征收城市基础设施配套费必须使用由省财政厅统一印制的财政票据。</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仿宋_GB2312" w:hAnsi="仿宋_GB2312" w:eastAsia="仿宋_GB2312" w:cs="仿宋_GB2312"/>
          <w:i w:val="0"/>
          <w:caps w:val="0"/>
          <w:color w:val="333333"/>
          <w:spacing w:val="0"/>
          <w:sz w:val="32"/>
          <w:szCs w:val="32"/>
          <w:shd w:val="clear" w:fill="FFFFFF"/>
          <w:lang w:val="en-US" w:eastAsia="zh-CN"/>
        </w:rPr>
      </w:pPr>
      <w:r>
        <w:rPr>
          <w:rFonts w:hint="default" w:ascii="仿宋_GB2312" w:hAnsi="仿宋_GB2312" w:eastAsia="仿宋_GB2312" w:cs="仿宋_GB2312"/>
          <w:i w:val="0"/>
          <w:caps w:val="0"/>
          <w:color w:val="333333"/>
          <w:spacing w:val="0"/>
          <w:sz w:val="32"/>
          <w:szCs w:val="32"/>
          <w:shd w:val="clear" w:fill="FFFFFF"/>
          <w:lang w:val="en-US" w:eastAsia="zh-CN"/>
        </w:rPr>
        <w:t>　　七、财政、审计、监察部门应按照各自职责，做好城市基础设施配套费的监督管理工作，对城市基础设施配套费的征缴情况进行定期检查，同时，也要对未全额缴纳城市基础设施配套费的建设项目相关许可手续办理情况进行定期检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仿宋_GB2312" w:hAnsi="仿宋_GB2312" w:eastAsia="仿宋_GB2312" w:cs="仿宋_GB2312"/>
          <w:i w:val="0"/>
          <w:caps w:val="0"/>
          <w:color w:val="333333"/>
          <w:spacing w:val="0"/>
          <w:sz w:val="32"/>
          <w:szCs w:val="32"/>
          <w:shd w:val="clear" w:fill="FFFFFF"/>
          <w:lang w:val="en-US" w:eastAsia="zh-CN"/>
        </w:rPr>
      </w:pPr>
      <w:r>
        <w:rPr>
          <w:rFonts w:hint="default" w:ascii="仿宋_GB2312" w:hAnsi="仿宋_GB2312" w:eastAsia="仿宋_GB2312" w:cs="仿宋_GB2312"/>
          <w:i w:val="0"/>
          <w:caps w:val="0"/>
          <w:color w:val="333333"/>
          <w:spacing w:val="0"/>
          <w:sz w:val="32"/>
          <w:szCs w:val="32"/>
          <w:shd w:val="clear" w:fill="FFFFFF"/>
          <w:lang w:val="en-US" w:eastAsia="zh-CN"/>
        </w:rPr>
        <w:t>　　八、阜蒙县、彰武县、新邱区、清河门区、经济开发区、高新区的城市基础设施配套费征收标准，可参照市级标准执行，也可由县区政府（管委会）根据本地实际，在不高于市级标准前提下，报市政府批准后执行。</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仿宋_GB2312" w:hAnsi="仿宋_GB2312" w:eastAsia="仿宋_GB2312" w:cs="仿宋_GB2312"/>
          <w:i w:val="0"/>
          <w:caps w:val="0"/>
          <w:color w:val="333333"/>
          <w:spacing w:val="0"/>
          <w:sz w:val="32"/>
          <w:szCs w:val="32"/>
          <w:shd w:val="clear" w:fill="FFFFFF"/>
          <w:lang w:val="en-US" w:eastAsia="zh-CN"/>
        </w:rPr>
      </w:pPr>
      <w:r>
        <w:rPr>
          <w:rFonts w:hint="default" w:ascii="仿宋_GB2312" w:hAnsi="仿宋_GB2312" w:eastAsia="仿宋_GB2312" w:cs="仿宋_GB2312"/>
          <w:i w:val="0"/>
          <w:caps w:val="0"/>
          <w:color w:val="333333"/>
          <w:spacing w:val="0"/>
          <w:sz w:val="32"/>
          <w:szCs w:val="32"/>
          <w:shd w:val="clear" w:fill="FFFFFF"/>
          <w:lang w:val="en-US" w:eastAsia="zh-CN"/>
        </w:rPr>
        <w:t>　　九、本通知下发后，《关于进一步加强城市基础设施配套费收缴管理的通知》（阜政发〔2007〕28号）同时废止。</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仿宋_GB2312" w:hAnsi="仿宋_GB2312" w:eastAsia="仿宋_GB2312" w:cs="仿宋_GB2312"/>
          <w:i w:val="0"/>
          <w:caps w:val="0"/>
          <w:color w:val="333333"/>
          <w:spacing w:val="0"/>
          <w:sz w:val="32"/>
          <w:szCs w:val="32"/>
          <w:shd w:val="clear" w:fill="FFFFFF"/>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仿宋_GB2312" w:hAnsi="仿宋_GB2312" w:eastAsia="仿宋_GB2312" w:cs="仿宋_GB2312"/>
          <w:i w:val="0"/>
          <w:caps w:val="0"/>
          <w:color w:val="333333"/>
          <w:spacing w:val="0"/>
          <w:sz w:val="32"/>
          <w:szCs w:val="32"/>
          <w:shd w:val="clear" w:fill="FFFFFF"/>
          <w:lang w:val="en-US" w:eastAsia="zh-CN"/>
        </w:rPr>
      </w:pPr>
      <w:r>
        <w:rPr>
          <w:rFonts w:hint="default" w:ascii="仿宋_GB2312" w:hAnsi="仿宋_GB2312" w:eastAsia="仿宋_GB2312" w:cs="仿宋_GB2312"/>
          <w:i w:val="0"/>
          <w:caps w:val="0"/>
          <w:color w:val="333333"/>
          <w:spacing w:val="0"/>
          <w:sz w:val="32"/>
          <w:szCs w:val="32"/>
          <w:shd w:val="clear" w:fill="FFFFFF"/>
          <w:lang w:val="en-US" w:eastAsia="zh-CN"/>
        </w:rPr>
        <w:t xml:space="preserve"> </w:t>
      </w:r>
      <w:bookmarkStart w:id="0" w:name="_GoBack"/>
      <w:bookmarkEnd w:id="0"/>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right"/>
        <w:rPr>
          <w:rFonts w:hint="default" w:ascii="仿宋_GB2312" w:hAnsi="仿宋_GB2312" w:eastAsia="仿宋_GB2312" w:cs="仿宋_GB2312"/>
          <w:i w:val="0"/>
          <w:caps w:val="0"/>
          <w:color w:val="333333"/>
          <w:spacing w:val="0"/>
          <w:sz w:val="32"/>
          <w:szCs w:val="32"/>
          <w:shd w:val="clear" w:fill="FFFFFF"/>
          <w:lang w:val="en-US" w:eastAsia="zh-CN"/>
        </w:rPr>
      </w:pPr>
      <w:r>
        <w:rPr>
          <w:rFonts w:hint="default" w:ascii="仿宋_GB2312" w:hAnsi="仿宋_GB2312" w:eastAsia="仿宋_GB2312" w:cs="仿宋_GB2312"/>
          <w:i w:val="0"/>
          <w:caps w:val="0"/>
          <w:color w:val="333333"/>
          <w:spacing w:val="0"/>
          <w:sz w:val="32"/>
          <w:szCs w:val="32"/>
          <w:shd w:val="clear" w:fill="FFFFFF"/>
          <w:lang w:val="en-US" w:eastAsia="zh-CN"/>
        </w:rPr>
        <w:t>阜新市人民政府办公室</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right"/>
        <w:rPr>
          <w:rFonts w:hint="default" w:ascii="仿宋_GB2312" w:hAnsi="仿宋_GB2312" w:eastAsia="仿宋_GB2312" w:cs="仿宋_GB2312"/>
          <w:i w:val="0"/>
          <w:caps w:val="0"/>
          <w:color w:val="333333"/>
          <w:spacing w:val="0"/>
          <w:sz w:val="32"/>
          <w:szCs w:val="32"/>
          <w:shd w:val="clear" w:fill="FFFFFF"/>
          <w:lang w:val="en-US" w:eastAsia="zh-CN"/>
        </w:rPr>
      </w:pPr>
      <w:r>
        <w:rPr>
          <w:rFonts w:hint="default" w:ascii="仿宋_GB2312" w:hAnsi="仿宋_GB2312" w:eastAsia="仿宋_GB2312" w:cs="仿宋_GB2312"/>
          <w:i w:val="0"/>
          <w:caps w:val="0"/>
          <w:color w:val="333333"/>
          <w:spacing w:val="0"/>
          <w:sz w:val="32"/>
          <w:szCs w:val="32"/>
          <w:shd w:val="clear" w:fill="FFFFFF"/>
          <w:lang w:val="en-US" w:eastAsia="zh-CN"/>
        </w:rPr>
        <w:t>2013年6月3日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default" w:ascii="仿宋_GB2312" w:hAnsi="仿宋_GB2312" w:eastAsia="仿宋_GB2312" w:cs="仿宋_GB2312"/>
          <w:i w:val="0"/>
          <w:caps w:val="0"/>
          <w:color w:val="333333"/>
          <w:spacing w:val="0"/>
          <w:sz w:val="32"/>
          <w:szCs w:val="32"/>
          <w:shd w:val="clear" w:fill="FFFFFF"/>
          <w:lang w:val="en-US" w:eastAsia="zh-CN"/>
        </w:rPr>
      </w:pPr>
      <w:r>
        <w:rPr>
          <w:rFonts w:hint="default" w:ascii="仿宋_GB2312" w:hAnsi="仿宋_GB2312" w:eastAsia="仿宋_GB2312" w:cs="仿宋_GB2312"/>
          <w:i w:val="0"/>
          <w:caps w:val="0"/>
          <w:color w:val="333333"/>
          <w:spacing w:val="0"/>
          <w:sz w:val="32"/>
          <w:szCs w:val="32"/>
          <w:shd w:val="clear" w:fill="FFFFFF"/>
          <w:lang w:val="en-US" w:eastAsia="zh-CN"/>
        </w:rPr>
        <w:t>（此件公开发布）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仿宋_GB2312" w:hAnsi="仿宋_GB2312" w:eastAsia="仿宋_GB2312" w:cs="仿宋_GB2312"/>
          <w:i w:val="0"/>
          <w:caps w:val="0"/>
          <w:color w:val="333333"/>
          <w:spacing w:val="0"/>
          <w:sz w:val="32"/>
          <w:szCs w:val="32"/>
          <w:shd w:val="clear" w:fill="FFFFFF"/>
          <w:lang w:val="en-US" w:eastAsia="zh-CN"/>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4"/>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阜新市人民政府发布     </w:t>
    </w:r>
  </w:p>
  <w:p>
    <w:pPr>
      <w:pStyle w:val="4"/>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60288;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4"/>
      <w:keepNext w:val="0"/>
      <w:keepLines w:val="0"/>
      <w:pageBreakBefore w:val="0"/>
      <w:widowControl w:val="0"/>
      <w:kinsoku/>
      <w:wordWrap/>
      <w:overflowPunct/>
      <w:topLinePunct w:val="0"/>
      <w:autoSpaceDE/>
      <w:autoSpaceDN/>
      <w:bidi w:val="0"/>
      <w:adjustRightInd/>
      <w:snapToGrid w:val="0"/>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CN"/>
      </w:rPr>
      <w:t>阜新市人民政府</w:t>
    </w:r>
    <w:r>
      <w:rPr>
        <w:rFonts w:hint="eastAsia" w:ascii="宋体" w:hAnsi="宋体" w:eastAsia="宋体" w:cs="宋体"/>
        <w:b/>
        <w:bCs/>
        <w:color w:val="005192"/>
        <w:sz w:val="32"/>
        <w:szCs w:val="32"/>
        <w:lang w:val="en-US" w:eastAsia="zh-CN"/>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27A6605"/>
    <w:rsid w:val="02EF387D"/>
    <w:rsid w:val="043E6443"/>
    <w:rsid w:val="04B679C3"/>
    <w:rsid w:val="05D44E8C"/>
    <w:rsid w:val="07417A70"/>
    <w:rsid w:val="080F63D8"/>
    <w:rsid w:val="09341458"/>
    <w:rsid w:val="09551CB6"/>
    <w:rsid w:val="0ACB2D46"/>
    <w:rsid w:val="0B0912D7"/>
    <w:rsid w:val="0C677E96"/>
    <w:rsid w:val="11322935"/>
    <w:rsid w:val="11781F9C"/>
    <w:rsid w:val="1343609C"/>
    <w:rsid w:val="13BE161E"/>
    <w:rsid w:val="152D2DCA"/>
    <w:rsid w:val="15A728F7"/>
    <w:rsid w:val="171627AD"/>
    <w:rsid w:val="178F711F"/>
    <w:rsid w:val="179A6D2D"/>
    <w:rsid w:val="1842520D"/>
    <w:rsid w:val="19AF68E9"/>
    <w:rsid w:val="1ADA1118"/>
    <w:rsid w:val="1C6137BD"/>
    <w:rsid w:val="1CC67831"/>
    <w:rsid w:val="1D7969DE"/>
    <w:rsid w:val="1DEC284C"/>
    <w:rsid w:val="1E6523AC"/>
    <w:rsid w:val="20397F99"/>
    <w:rsid w:val="22440422"/>
    <w:rsid w:val="226D3556"/>
    <w:rsid w:val="22867C1E"/>
    <w:rsid w:val="229F5A3C"/>
    <w:rsid w:val="22C52CA9"/>
    <w:rsid w:val="22EB4548"/>
    <w:rsid w:val="23661BFF"/>
    <w:rsid w:val="24D75076"/>
    <w:rsid w:val="272F204E"/>
    <w:rsid w:val="28C97A6A"/>
    <w:rsid w:val="29070ABF"/>
    <w:rsid w:val="2A6C7289"/>
    <w:rsid w:val="2BDC209D"/>
    <w:rsid w:val="2C6C06C2"/>
    <w:rsid w:val="2E477B09"/>
    <w:rsid w:val="304D057B"/>
    <w:rsid w:val="30827465"/>
    <w:rsid w:val="30E42341"/>
    <w:rsid w:val="31A15F24"/>
    <w:rsid w:val="32661A77"/>
    <w:rsid w:val="326D4440"/>
    <w:rsid w:val="32E9052B"/>
    <w:rsid w:val="32EC1D99"/>
    <w:rsid w:val="33335C0A"/>
    <w:rsid w:val="34A2168D"/>
    <w:rsid w:val="34DA5A83"/>
    <w:rsid w:val="34DD1F5B"/>
    <w:rsid w:val="395347B5"/>
    <w:rsid w:val="39A232A0"/>
    <w:rsid w:val="39E745AA"/>
    <w:rsid w:val="39E91E76"/>
    <w:rsid w:val="3B5A6BBB"/>
    <w:rsid w:val="3EDA13A6"/>
    <w:rsid w:val="3F0926CC"/>
    <w:rsid w:val="3FA87C99"/>
    <w:rsid w:val="400F12CC"/>
    <w:rsid w:val="410A62FB"/>
    <w:rsid w:val="42F058B7"/>
    <w:rsid w:val="436109F6"/>
    <w:rsid w:val="441A38D4"/>
    <w:rsid w:val="48287CE7"/>
    <w:rsid w:val="48A872FD"/>
    <w:rsid w:val="4B0B36DC"/>
    <w:rsid w:val="4BC77339"/>
    <w:rsid w:val="4C7F0AA6"/>
    <w:rsid w:val="4C9236C5"/>
    <w:rsid w:val="4D172764"/>
    <w:rsid w:val="4E195AAB"/>
    <w:rsid w:val="505C172E"/>
    <w:rsid w:val="50AB2D89"/>
    <w:rsid w:val="52304D25"/>
    <w:rsid w:val="52934322"/>
    <w:rsid w:val="52EE2D38"/>
    <w:rsid w:val="52F46F0B"/>
    <w:rsid w:val="53603B2D"/>
    <w:rsid w:val="53D8014D"/>
    <w:rsid w:val="55636004"/>
    <w:rsid w:val="558E36BB"/>
    <w:rsid w:val="55E064E0"/>
    <w:rsid w:val="572C6D10"/>
    <w:rsid w:val="5A5048BA"/>
    <w:rsid w:val="5A530432"/>
    <w:rsid w:val="5D8D112A"/>
    <w:rsid w:val="5DC34279"/>
    <w:rsid w:val="5DC55C03"/>
    <w:rsid w:val="608816D1"/>
    <w:rsid w:val="60D7232F"/>
    <w:rsid w:val="60EF4E7F"/>
    <w:rsid w:val="60FF036A"/>
    <w:rsid w:val="64B30F81"/>
    <w:rsid w:val="650C400B"/>
    <w:rsid w:val="665233C1"/>
    <w:rsid w:val="66EC1D05"/>
    <w:rsid w:val="67F1149D"/>
    <w:rsid w:val="6A2A4332"/>
    <w:rsid w:val="6AD9688B"/>
    <w:rsid w:val="6D0E3F22"/>
    <w:rsid w:val="6F80052F"/>
    <w:rsid w:val="723875FC"/>
    <w:rsid w:val="734638FE"/>
    <w:rsid w:val="74B86FD5"/>
    <w:rsid w:val="74DA1FF6"/>
    <w:rsid w:val="75C63DAF"/>
    <w:rsid w:val="7AAC21E0"/>
    <w:rsid w:val="7B9872E6"/>
    <w:rsid w:val="7C4F7FD0"/>
    <w:rsid w:val="7C9011D9"/>
    <w:rsid w:val="7D050D8E"/>
    <w:rsid w:val="7D47215E"/>
    <w:rsid w:val="7DC651C5"/>
    <w:rsid w:val="7F167818"/>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75" w:beforeAutospacing="0" w:after="75" w:afterAutospacing="0"/>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4301</Words>
  <Characters>4333</Characters>
  <Lines>1</Lines>
  <Paragraphs>1</Paragraphs>
  <TotalTime>274</TotalTime>
  <ScaleCrop>false</ScaleCrop>
  <LinksUpToDate>false</LinksUpToDate>
  <CharactersWithSpaces>4382</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Administrator</cp:lastModifiedBy>
  <cp:lastPrinted>2021-10-26T03:30:00Z</cp:lastPrinted>
  <dcterms:modified xsi:type="dcterms:W3CDTF">2022-01-07T02:56:47Z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EFEEE410F2B3471BA5048D6EC8274E33</vt:lpwstr>
  </property>
</Properties>
</file>