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pPr>
    </w:p>
    <w:p>
      <w:pPr>
        <w:pStyle w:val="2"/>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阜新市人民政府关于印发阜新市贯彻落实</w:t>
      </w:r>
    </w:p>
    <w:p>
      <w:pPr>
        <w:pStyle w:val="2"/>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国务院和省政府扎实稳住经济一揽子政策</w:t>
      </w:r>
    </w:p>
    <w:p>
      <w:pPr>
        <w:pStyle w:val="2"/>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措施任务工作实施意见的通知</w:t>
      </w:r>
    </w:p>
    <w:p>
      <w:pPr>
        <w:pStyle w:val="2"/>
        <w:rPr>
          <w:rFonts w:hint="eastAsia" w:ascii="仿宋_GB2312" w:hAnsi="仿宋_GB2312" w:eastAsia="仿宋_GB2312" w:cs="仿宋_GB2312"/>
          <w:i w:val="0"/>
          <w:iCs w:val="0"/>
          <w:caps w:val="0"/>
          <w:color w:val="333333"/>
          <w:spacing w:val="0"/>
          <w:sz w:val="32"/>
          <w:szCs w:val="32"/>
          <w:shd w:val="clear" w:fill="FFFFFF"/>
        </w:rPr>
      </w:pPr>
    </w:p>
    <w:p>
      <w:pPr>
        <w:pStyle w:val="2"/>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阜政发〔2022〕17号</w:t>
      </w:r>
    </w:p>
    <w:p>
      <w:pPr>
        <w:pStyle w:val="2"/>
        <w:rPr>
          <w:rFonts w:hint="eastAsia" w:ascii="仿宋_GB2312" w:hAnsi="仿宋_GB2312" w:eastAsia="仿宋_GB2312" w:cs="仿宋_GB2312"/>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各县、区人民政府，市政府各部门、各直属单位：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现将《阜新市贯彻落实国务院和省政府扎实稳住经济一揽子政策措施任务工作实施意见》印发给你们，请认真抓好贯彻落实。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阜新市人民政府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2022年10月11日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（此件公开发布）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bdr w:val="none" w:color="auto" w:sz="0" w:space="0"/>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sz w:val="44"/>
          <w:szCs w:val="44"/>
          <w:bdr w:val="none" w:color="auto" w:sz="0" w:space="0"/>
          <w:shd w:val="clear" w:fill="FFFFFF"/>
        </w:rPr>
        <w:t>阜新市贯彻落实国务院和省政府扎实稳住经济</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iCs w:val="0"/>
          <w:caps w:val="0"/>
          <w:color w:val="333333"/>
          <w:spacing w:val="0"/>
          <w:sz w:val="44"/>
          <w:szCs w:val="44"/>
        </w:rPr>
      </w:pPr>
      <w:r>
        <w:rPr>
          <w:rFonts w:hint="eastAsia" w:ascii="宋体" w:hAnsi="宋体" w:eastAsia="宋体" w:cs="宋体"/>
          <w:i w:val="0"/>
          <w:iCs w:val="0"/>
          <w:caps w:val="0"/>
          <w:color w:val="333333"/>
          <w:spacing w:val="0"/>
          <w:sz w:val="44"/>
          <w:szCs w:val="44"/>
          <w:bdr w:val="none" w:color="auto" w:sz="0" w:space="0"/>
          <w:shd w:val="clear" w:fill="FFFFFF"/>
        </w:rPr>
        <w:t>一揽子政策措施任务工作实施意见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为贯彻落实《国务院关于印发扎实稳住经济一揽子政策措施的通知》（国发〔2022〕12号）和《辽宁省人民政府关于印发辽宁省贯彻落实国务院扎实稳住经济的一揽子政策措施若干举措的通知》（辽政发〔2022〕15号）精神，高效统筹疫情防控和经济社会发展，统筹发展和安全，提出本实施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8"/>
          <w:rFonts w:hint="eastAsia" w:ascii="黑体" w:hAnsi="黑体" w:eastAsia="黑体" w:cs="黑体"/>
          <w:b w:val="0"/>
          <w:bCs w:val="0"/>
          <w:i w:val="0"/>
          <w:iCs w:val="0"/>
          <w:caps w:val="0"/>
          <w:color w:val="333333"/>
          <w:spacing w:val="0"/>
          <w:sz w:val="32"/>
          <w:szCs w:val="32"/>
          <w:bdr w:val="none" w:color="auto" w:sz="0" w:space="0"/>
          <w:shd w:val="clear" w:fill="FFFFFF"/>
        </w:rPr>
        <w:t>　一、切实提高政治站位。</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各部门要坚持以习近平新时代中国特色社会主义思想为指导，按照“疫情要防住、经济要稳住、发展要安全”的要求，切实增强责任感、使命感、紧迫感，担当作为、求真务实，齐心协力、顽强拼搏，以钉钉子精神抓好党中央、国务院决策部署，省委、省政府工作安排以及市委、市政府的工作要求，高效统筹疫情防控和经济社会发展，最大程度保护人民生命安全和身体健康，最大限度减少疫情对经济社会发展的影响，保持经济运行在合理区间，以实际行动迎接党的二十大胜利召开。</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8"/>
          <w:rFonts w:hint="eastAsia" w:ascii="黑体" w:hAnsi="黑体" w:eastAsia="黑体" w:cs="黑体"/>
          <w:b w:val="0"/>
          <w:bCs w:val="0"/>
          <w:i w:val="0"/>
          <w:iCs w:val="0"/>
          <w:caps w:val="0"/>
          <w:color w:val="333333"/>
          <w:spacing w:val="0"/>
          <w:sz w:val="32"/>
          <w:szCs w:val="32"/>
          <w:bdr w:val="none" w:color="auto" w:sz="0" w:space="0"/>
          <w:shd w:val="clear" w:fill="FFFFFF"/>
        </w:rPr>
        <w:t>二、强化工作跟踪对接。</w:t>
      </w:r>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各部门要强化组织领导，落实由主要负责人牵头的工作专班机制，加强经济运行分析研判，查找差距和短板弱项，有针对性地采取措施，下更大力气抓好中央以及省市经济工作会议精神和《政府工作报告》部署的贯彻落实，靠前发力、适当加力，推动扎实稳住经济的一揽子政策措施及时落实到位，确保尽快落地见效。市直有关部门要落实专人主动对接省级有关部门和单位，跟踪新政策推进落实、新增重大项目计划安排、新增专项资金投入分配等情况，积极争取中央、省里更多的政策、项目和资金支持。由市级对口部门牵头向上跟踪执行的政策措施要紧跟国家、省里部署安排，及时贯彻执行，不折不扣落实；由市级责任部门分工协作共同推进落实的政策措施要抓紧研究，尽快落实具体任务，推动改革措施精准直达、尽快生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8"/>
          <w:rFonts w:hint="eastAsia" w:ascii="黑体" w:hAnsi="黑体" w:eastAsia="黑体" w:cs="黑体"/>
          <w:b w:val="0"/>
          <w:bCs w:val="0"/>
          <w:i w:val="0"/>
          <w:iCs w:val="0"/>
          <w:caps w:val="0"/>
          <w:color w:val="333333"/>
          <w:spacing w:val="0"/>
          <w:sz w:val="32"/>
          <w:szCs w:val="32"/>
          <w:bdr w:val="none" w:color="auto" w:sz="0" w:space="0"/>
          <w:shd w:val="clear" w:fill="FFFFFF"/>
        </w:rPr>
        <w:t>三、研究制定配套措施。</w:t>
      </w:r>
      <w:r>
        <w:rPr>
          <w:rFonts w:hint="eastAsia" w:ascii="仿宋_GB2312" w:hAnsi="仿宋_GB2312" w:eastAsia="仿宋_GB2312" w:cs="仿宋_GB2312"/>
          <w:i w:val="0"/>
          <w:iCs w:val="0"/>
          <w:caps w:val="0"/>
          <w:color w:val="333333"/>
          <w:spacing w:val="0"/>
          <w:sz w:val="32"/>
          <w:szCs w:val="32"/>
          <w:bdr w:val="none" w:color="auto" w:sz="0" w:space="0"/>
          <w:shd w:val="clear" w:fill="FFFFFF"/>
        </w:rPr>
        <w:t>市直有关部门要按照国务院稳住经济大盘电视电话会议精神、8月31日国务院常务会议精神、辽宁省稳住经济大盘电视电话会议精神和《国务院关于印发扎实稳住经济一揽子政策措施的通知》（国发〔2022〕12号）和《辽宁省人民政府关于印发辽宁省贯彻落实国务院扎实稳住经济的一揽子政策措施若干举措的通知》（辽政发〔2022〕15号）要求，不等不靠，对本部门本领域本行业的工作进行再部署再推动再落实。要根据国家、省制定配套政策措施、接续政策措施情况，需要出台配套实施细则或完善相关行业领域的配套政策的，应与国家、省政策基本同步完成，尽早对稳住经济和助企纾困等产生更大政策效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bookmarkStart w:id="0" w:name="_GoBack"/>
      <w:r>
        <w:rPr>
          <w:rStyle w:val="8"/>
          <w:rFonts w:hint="eastAsia" w:ascii="黑体" w:hAnsi="黑体" w:eastAsia="黑体" w:cs="黑体"/>
          <w:b w:val="0"/>
          <w:bCs w:val="0"/>
          <w:i w:val="0"/>
          <w:iCs w:val="0"/>
          <w:caps w:val="0"/>
          <w:color w:val="333333"/>
          <w:spacing w:val="0"/>
          <w:sz w:val="32"/>
          <w:szCs w:val="32"/>
          <w:bdr w:val="none" w:color="auto" w:sz="0" w:space="0"/>
          <w:shd w:val="clear" w:fill="FFFFFF"/>
        </w:rPr>
        <w:t>四、加大督查督办力度。</w:t>
      </w:r>
      <w:bookmarkEnd w:id="0"/>
      <w:r>
        <w:rPr>
          <w:rFonts w:hint="eastAsia" w:ascii="仿宋_GB2312" w:hAnsi="仿宋_GB2312" w:eastAsia="仿宋_GB2312" w:cs="仿宋_GB2312"/>
          <w:i w:val="0"/>
          <w:iCs w:val="0"/>
          <w:caps w:val="0"/>
          <w:color w:val="333333"/>
          <w:spacing w:val="0"/>
          <w:sz w:val="32"/>
          <w:szCs w:val="32"/>
          <w:bdr w:val="none" w:color="auto" w:sz="0" w:space="0"/>
          <w:shd w:val="clear" w:fill="FFFFFF"/>
        </w:rPr>
        <w:t>各县区、各部门要在工作中增强责任感、使命感和紧迫感，切实担负起稳定宏观经济的政治责任，采取有力措施稳市场主体、保就业、保民生，保住经济基本盘。市发展改革委同市政府督查室，及时对扎实稳住经济的一揽子政策措施、接续政策措施的落实情况开展督查督办。</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附件：阜新市贯彻落实国务院和省政府扎实稳住经济一揽子政策措施任务分解表</w:t>
      </w:r>
    </w:p>
    <w:p>
      <w:pPr>
        <w:pStyle w:val="2"/>
      </w:pPr>
    </w:p>
    <w:p/>
    <w:tbl>
      <w:tblPr>
        <w:tblStyle w:val="6"/>
        <w:tblW w:w="100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9"/>
        <w:gridCol w:w="617"/>
        <w:gridCol w:w="6533"/>
        <w:gridCol w:w="2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86" w:type="dxa"/>
            <w:gridSpan w:val="2"/>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8"/>
                <w:szCs w:val="28"/>
                <w:u w:val="none"/>
              </w:rPr>
            </w:pPr>
            <w:r>
              <w:rPr>
                <w:rFonts w:hint="default" w:ascii="Times New Roman" w:hAnsi="Times New Roman" w:eastAsia="黑体" w:cs="Times New Roman"/>
                <w:i w:val="0"/>
                <w:color w:val="000000"/>
                <w:kern w:val="0"/>
                <w:sz w:val="28"/>
                <w:szCs w:val="28"/>
                <w:u w:val="none"/>
                <w:lang w:val="en-US" w:eastAsia="zh-CN" w:bidi="ar"/>
              </w:rPr>
              <w:t>附件</w:t>
            </w:r>
          </w:p>
        </w:tc>
        <w:tc>
          <w:tcPr>
            <w:tcW w:w="6533"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rPr>
            </w:pPr>
          </w:p>
        </w:tc>
        <w:tc>
          <w:tcPr>
            <w:tcW w:w="2467" w:type="dxa"/>
            <w:tcBorders>
              <w:top w:val="nil"/>
              <w:left w:val="nil"/>
              <w:bottom w:val="nil"/>
              <w:right w:val="nil"/>
            </w:tcBorders>
            <w:noWrap/>
            <w:vAlign w:val="center"/>
          </w:tcPr>
          <w:p>
            <w:pPr>
              <w:rPr>
                <w:rFonts w:hint="default" w:ascii="Times New Roman" w:hAnsi="Times New Roman" w:eastAsia="仿宋_GB2312"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10086" w:type="dxa"/>
            <w:gridSpan w:val="4"/>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方正小标宋简体" w:cs="Times New Roman"/>
                <w:color w:val="000000"/>
                <w:kern w:val="0"/>
                <w:sz w:val="36"/>
                <w:szCs w:val="36"/>
                <w:lang w:bidi="ar"/>
              </w:rPr>
            </w:pPr>
            <w:r>
              <w:rPr>
                <w:rFonts w:hint="default" w:ascii="Times New Roman" w:hAnsi="Times New Roman" w:eastAsia="方正小标宋简体" w:cs="Times New Roman"/>
                <w:color w:val="000000"/>
                <w:kern w:val="0"/>
                <w:sz w:val="36"/>
                <w:szCs w:val="36"/>
                <w:lang w:bidi="ar"/>
              </w:rPr>
              <w:t>阜新市贯彻落实国务院和省政府扎实稳住</w:t>
            </w:r>
          </w:p>
          <w:p>
            <w:pPr>
              <w:keepNext w:val="0"/>
              <w:keepLines w:val="0"/>
              <w:widowControl/>
              <w:suppressLineNumbers w:val="0"/>
              <w:jc w:val="center"/>
              <w:textAlignment w:val="center"/>
              <w:rPr>
                <w:rFonts w:hint="default" w:ascii="Times New Roman" w:hAnsi="Times New Roman" w:eastAsia="仿宋_GB2312" w:cs="Times New Roman"/>
                <w:i w:val="0"/>
                <w:color w:val="000000"/>
                <w:sz w:val="36"/>
                <w:szCs w:val="36"/>
                <w:u w:val="none"/>
              </w:rPr>
            </w:pPr>
            <w:r>
              <w:rPr>
                <w:rFonts w:hint="default" w:ascii="Times New Roman" w:hAnsi="Times New Roman" w:eastAsia="方正小标宋简体" w:cs="Times New Roman"/>
                <w:color w:val="000000"/>
                <w:kern w:val="0"/>
                <w:sz w:val="36"/>
                <w:szCs w:val="36"/>
                <w:lang w:bidi="ar"/>
              </w:rPr>
              <w:t>经济一揽子政策措施任务</w:t>
            </w:r>
            <w:r>
              <w:rPr>
                <w:rFonts w:hint="default" w:ascii="Times New Roman" w:hAnsi="Times New Roman" w:eastAsia="方正小标宋简体" w:cs="Times New Roman"/>
                <w:color w:val="000000"/>
                <w:kern w:val="0"/>
                <w:sz w:val="36"/>
                <w:szCs w:val="36"/>
                <w:lang w:eastAsia="zh-CN" w:bidi="ar"/>
              </w:rPr>
              <w:t>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1008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8"/>
                <w:szCs w:val="28"/>
                <w:u w:val="none"/>
              </w:rPr>
            </w:pPr>
            <w:r>
              <w:rPr>
                <w:rFonts w:hint="eastAsia" w:ascii="方正小标宋简体" w:hAnsi="方正小标宋简体" w:eastAsia="方正小标宋简体" w:cs="方正小标宋简体"/>
                <w:b w:val="0"/>
                <w:bCs/>
                <w:i w:val="0"/>
                <w:color w:val="000000"/>
                <w:kern w:val="0"/>
                <w:sz w:val="32"/>
                <w:szCs w:val="32"/>
                <w:u w:val="none"/>
                <w:lang w:val="en-US" w:eastAsia="zh-CN" w:bidi="ar"/>
              </w:rPr>
              <w:t>落实国务院扎实稳住经济一揽子政策措施任务清单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序号</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任务类型</w:t>
            </w: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任务清单</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黑体" w:cs="Times New Roman"/>
                <w:b w:val="0"/>
                <w:bCs/>
                <w:i w:val="0"/>
                <w:color w:val="000000"/>
                <w:sz w:val="24"/>
                <w:szCs w:val="24"/>
                <w:u w:val="none"/>
              </w:rPr>
            </w:pPr>
            <w:r>
              <w:rPr>
                <w:rFonts w:hint="default" w:ascii="Times New Roman" w:hAnsi="Times New Roman" w:eastAsia="黑体" w:cs="Times New Roman"/>
                <w:b w:val="0"/>
                <w:bCs/>
                <w:i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4"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w:t>
            </w:r>
          </w:p>
        </w:tc>
        <w:tc>
          <w:tcPr>
            <w:tcW w:w="61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333333"/>
                <w:sz w:val="24"/>
                <w:szCs w:val="24"/>
                <w:u w:val="none"/>
              </w:rPr>
            </w:pPr>
            <w:r>
              <w:rPr>
                <w:rFonts w:hint="default" w:ascii="Times New Roman" w:hAnsi="Times New Roman" w:eastAsia="仿宋_GB2312" w:cs="Times New Roman"/>
                <w:b/>
                <w:i w:val="0"/>
                <w:color w:val="333333"/>
                <w:kern w:val="0"/>
                <w:sz w:val="24"/>
                <w:szCs w:val="24"/>
                <w:u w:val="none"/>
                <w:lang w:val="en-US" w:eastAsia="zh-CN" w:bidi="ar"/>
              </w:rPr>
              <w:t>财政政策</w:t>
            </w: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进一步加大增值税留抵退税政策力度。在已出台的制造业、科学研究和技术服务业、电力热力燃气及水生产和供应业、软件和信息技术服务业、生态保护和环境治理业、民航交通运输仓储和邮政业等6个行业企业的存量留抵税额全额退还、增量留抵税额按月全额退还基础上，研究将批发和零售业，农、林、牧、渔业，住宿和餐饮业，居民服务、修理和其他服务业，教育，卫生和社会工作，文化、体育和娱乐业等7个行业企业纳入按月全额退还增量留抵税额、一次性全额退还存量留抵税额政策范围，预计新增留抵退税1420亿元。抓紧办理小微企业、个体工商户留抵退税并加大帮扶力度，在纳税人自愿申请的基础上，6月30日前基本完成集中退还存量留抵税额；今年出台的各项留抵退税政策新增退税总额达到约1.64万亿元。加强退税风险防范，依法严惩偷税、骗税等行为。</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default" w:ascii="Times New Roman" w:hAnsi="Times New Roman"/>
                <w:lang w:val="en-US" w:eastAsia="zh-CN"/>
              </w:rPr>
            </w:pPr>
            <w:r>
              <w:rPr>
                <w:rFonts w:hint="default" w:ascii="Times New Roman" w:hAnsi="Times New Roman" w:eastAsia="仿宋_GB2312" w:cs="Times New Roman"/>
                <w:i w:val="0"/>
                <w:color w:val="000000"/>
                <w:kern w:val="0"/>
                <w:sz w:val="24"/>
                <w:szCs w:val="24"/>
                <w:u w:val="none"/>
                <w:lang w:val="en-US" w:eastAsia="zh-CN" w:bidi="ar"/>
              </w:rPr>
              <w:t>市财政局、市税务局等，各县区政府、高新开发区管委会</w:t>
            </w:r>
          </w:p>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（以下均需各县区政府、高新开发区管委会落实，不再列出）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w:t>
            </w:r>
          </w:p>
        </w:tc>
        <w:tc>
          <w:tcPr>
            <w:tcW w:w="617"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333333"/>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快财政支出进度。督促指导地方加快预算执行进度，尽快分解下达资金，及时做好资金拨付工作。尽快下达转移支付预算，加快本级支出进度；加大盘活存量资金力度，对结余资金和连续两年未用完的结转资金按规定收回统筹使用，对不足两年的结转资金中不需按原用途使用的资金收回统筹用于经济社会发展急需支持的领域；结合留抵退税、项目建设等需要做好资金调度、加强库款保障，确保有关工作顺利推进。</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市财政局等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w:t>
            </w:r>
          </w:p>
        </w:tc>
        <w:tc>
          <w:tcPr>
            <w:tcW w:w="617" w:type="dxa"/>
            <w:vMerge w:val="restart"/>
            <w:tcBorders>
              <w:top w:val="single" w:color="000000" w:sz="4" w:space="0"/>
              <w:left w:val="single" w:color="000000" w:sz="4" w:space="0"/>
              <w:right w:val="single" w:color="000000" w:sz="4" w:space="0"/>
            </w:tcBorders>
            <w:noWrap w:val="0"/>
            <w:vAlign w:val="center"/>
          </w:tcPr>
          <w:p>
            <w:r>
              <w:rPr>
                <w:rFonts w:hint="default" w:ascii="Times New Roman" w:hAnsi="Times New Roman" w:eastAsia="仿宋_GB2312" w:cs="Times New Roman"/>
                <w:b/>
                <w:i w:val="0"/>
                <w:color w:val="333333"/>
                <w:kern w:val="0"/>
                <w:sz w:val="24"/>
                <w:szCs w:val="24"/>
                <w:u w:val="none"/>
                <w:lang w:val="en-US" w:eastAsia="zh-CN" w:bidi="ar"/>
              </w:rPr>
              <w:t>财政政策</w:t>
            </w:r>
          </w:p>
          <w:p>
            <w:pPr>
              <w:keepNext w:val="0"/>
              <w:keepLines w:val="0"/>
              <w:widowControl/>
              <w:suppressLineNumbers w:val="0"/>
              <w:jc w:val="center"/>
              <w:textAlignment w:val="auto"/>
              <w:rPr>
                <w:rFonts w:hint="default" w:ascii="Times New Roman" w:hAnsi="Times New Roman" w:eastAsia="仿宋_GB2312" w:cs="Times New Roman"/>
                <w:b/>
                <w:i w:val="0"/>
                <w:color w:val="333333"/>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快地方政府专项债券发行使用并扩大支持范围。抓紧完成今年专项债券发行使用任务，加快今年已下达的3.45万亿元专项债券发行使用进度，在6月底前基本发行完毕，力争在8月底前基本使用完毕。在依法合规、风险可控的前提下，财政部会同人民银行、银保监会引导商业银行对符合条件的专项债券项目建设主体提供配套融资支持，做好信贷资金和专项债资金的有效衔接。在前期确定的交通基础设施、能源、保障性安居工程等9大领域基础上，适当扩大专项债券支持领域，优先考虑将新型基础设施、新能源项目等纳入支持范围。</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市财政局、市发改委、</w:t>
            </w: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Fonts w:hint="default" w:ascii="Times New Roman" w:hAnsi="Times New Roman" w:eastAsia="仿宋_GB2312" w:cs="Times New Roman"/>
                <w:i w:val="0"/>
                <w:color w:val="000000"/>
                <w:kern w:val="0"/>
                <w:sz w:val="24"/>
                <w:szCs w:val="24"/>
                <w:u w:val="none"/>
                <w:lang w:val="en-US" w:eastAsia="zh-CN" w:bidi="ar"/>
              </w:rPr>
              <w:t>、</w:t>
            </w:r>
            <w:r>
              <w:rPr>
                <w:rFonts w:hint="eastAsia" w:ascii="Times New Roman" w:hAnsi="Times New Roman" w:eastAsia="仿宋_GB2312" w:cs="Times New Roman"/>
                <w:i w:val="0"/>
                <w:color w:val="000000"/>
                <w:kern w:val="0"/>
                <w:sz w:val="24"/>
                <w:szCs w:val="24"/>
                <w:u w:val="none"/>
                <w:lang w:val="en-US" w:eastAsia="zh-CN" w:bidi="ar"/>
              </w:rPr>
              <w:t>银保监阜新分局</w:t>
            </w:r>
            <w:r>
              <w:rPr>
                <w:rFonts w:hint="default" w:ascii="Times New Roman" w:hAnsi="Times New Roman" w:eastAsia="仿宋_GB2312" w:cs="Times New Roman"/>
                <w:i w:val="0"/>
                <w:color w:val="000000"/>
                <w:kern w:val="0"/>
                <w:sz w:val="24"/>
                <w:szCs w:val="24"/>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3"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4</w:t>
            </w:r>
          </w:p>
        </w:tc>
        <w:tc>
          <w:tcPr>
            <w:tcW w:w="61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333333"/>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用好政府性融资担保等政策。今年新增国家融资担保基金再担保合作业务规模1万亿元以上。对符合条件的交通运输、餐饮、住宿、旅游行业中小微企业、个体工商户，鼓励政府性融资担保机构提供融资担保支持，政府性融资担保机构及时履行代偿义务，推动金融机构尽快放贷，不盲目抽贷、压贷、断贷，并将上述符合条件的融资担保业务纳入国家融资担保基金再担保合作范围。深入落实中央财政小微企业融资担保降费奖补政策，计划安排30亿元资金，支持融资担保机构进一步扩大小微企业融资担保业务规模，降低融资担保费率。推动有条件的地方对支小支农担保业务保费给予阶段性补贴。</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市财政局、</w:t>
            </w:r>
            <w:r>
              <w:rPr>
                <w:rFonts w:hint="eastAsia" w:ascii="Times New Roman" w:hAnsi="Times New Roman" w:eastAsia="仿宋_GB2312" w:cs="Times New Roman"/>
                <w:i w:val="0"/>
                <w:color w:val="000000"/>
                <w:kern w:val="0"/>
                <w:sz w:val="24"/>
                <w:szCs w:val="24"/>
                <w:u w:val="none"/>
                <w:lang w:val="en-US" w:eastAsia="zh-CN" w:bidi="ar"/>
              </w:rPr>
              <w:t>银保监阜新分局</w:t>
            </w:r>
            <w:r>
              <w:rPr>
                <w:rFonts w:hint="default" w:ascii="Times New Roman" w:hAnsi="Times New Roman" w:eastAsia="仿宋_GB2312" w:cs="Times New Roman"/>
                <w:i w:val="0"/>
                <w:color w:val="000000"/>
                <w:kern w:val="0"/>
                <w:sz w:val="24"/>
                <w:szCs w:val="24"/>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5</w:t>
            </w:r>
          </w:p>
        </w:tc>
        <w:tc>
          <w:tcPr>
            <w:tcW w:w="617"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333333"/>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大政府采购支持中小企业力度。将面向小微企业的价格扣除比例由6%—10%提高至10%—20%。政府采购工程要落实促进中小企业发展的政府采购政策，根据项目特点、专业类型和专业领域合理划分采购包，积极扩大联合体投标和大企业分包，降低中小企业参与门槛，坚持公开公正、公平竞争，按照统一质量标准，将预留面向中小企业采购的份额由30%以上今年阶段性提高至40%以上，非预留项目要给予小微企业评审优惠，增加中小企业合同规模。</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市财政局牵头负责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8"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6</w:t>
            </w:r>
          </w:p>
        </w:tc>
        <w:tc>
          <w:tcPr>
            <w:tcW w:w="617"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333333"/>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扩大实施社保费缓缴政策。在确保各项社会保险待遇按时足额支付的前提下，对符合条件地区受疫情影响生产经营出现暂时困难的所有中小微企业、以单位方式参保的个体工商户，阶段性缓缴三项社会保险单位缴费部分，缓缴期限阶段性实施到今年底。在对餐饮、零售、旅游、民航、公路水路铁路运输等5个特困行业实施阶段性缓缴三项社保费政策的基础上，对受到疫情严重冲击、行业内大面积出现企业生产经营困难、符合国家产业政策导向的其他特困行业，扩大实施缓缴政策，养老保险费缓缴期限阶段性延长到今年底。</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市人社局、市财政局、市发改委、市税务局等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7</w:t>
            </w:r>
          </w:p>
        </w:tc>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ascii="Times New Roman" w:hAnsi="Times New Roman"/>
              </w:rPr>
            </w:pPr>
            <w:r>
              <w:rPr>
                <w:rFonts w:hint="default" w:ascii="Times New Roman" w:hAnsi="Times New Roman" w:eastAsia="仿宋_GB2312" w:cs="Times New Roman"/>
                <w:b/>
                <w:i w:val="0"/>
                <w:color w:val="333333"/>
                <w:kern w:val="0"/>
                <w:sz w:val="24"/>
                <w:szCs w:val="24"/>
                <w:u w:val="none"/>
                <w:lang w:val="en-US" w:eastAsia="zh-CN" w:bidi="ar"/>
              </w:rPr>
              <w:t>财政政策</w:t>
            </w:r>
          </w:p>
          <w:p>
            <w:pPr>
              <w:jc w:val="center"/>
              <w:rPr>
                <w:rFonts w:hint="default" w:ascii="Times New Roman" w:hAnsi="Times New Roman" w:eastAsia="仿宋_GB2312" w:cs="Times New Roman"/>
                <w:b/>
                <w:i w:val="0"/>
                <w:color w:val="333333"/>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大稳岗支持力度。优化失业保险稳岗返还政策，进一步提高返还比例，将大型企业稳岗返还比例由30%提至50%。拓宽失业保险留工补助受益范围，由中小微企业扩大至受疫情严重影响暂时无法正常生产经营的所有参保企业。企业招用毕业年度高校毕业生，签订劳动合同并参加失业保险的，可按每人不超过1500元的标准，发放一次性扩岗补助，具体补助标准由各省份确定，与一次性吸纳就业补贴不重复享受，政策执行期限至今年底。</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市人社局、市财政局等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8"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8</w:t>
            </w:r>
          </w:p>
        </w:tc>
        <w:tc>
          <w:tcPr>
            <w:tcW w:w="61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货币金融政策</w:t>
            </w:r>
          </w:p>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鼓励对中小微企业和个体工商户、货车司机贷款及受疫情影响的个人住房与消费贷款等实施延期还本付息。商业银行等金融机构继续按市场化原则与中小微企业（含中小微企业主）和个体工商户、货车司机等自主协商，对其贷款实施延期还本付息，努力做到应延尽延，本轮延期还本付息日期原则上不超过2022年底。中央汽车企业所属金融子企业要发挥引领示范作用，对2022年6月30日前发放的商用货车消费贷款给予6个月延期还本付息支持。对因感染新冠肺炎住院治疗或隔离、受疫情影响隔离观察或失去收入来源的人群，金融机构对其存续的个人住房、消费等贷款，灵活采取合理延后还款时间、延长贷款期限、延期还本等方式调整还款计划。对延期贷款坚持实质性风险判断，不单独因疫情因素下调贷款风险分类，不影响征信记录，并免收罚息。</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银保监阜新分局</w:t>
            </w:r>
            <w:r>
              <w:rPr>
                <w:rFonts w:hint="default" w:ascii="Times New Roman" w:hAnsi="Times New Roman" w:eastAsia="仿宋_GB2312" w:cs="Times New Roman"/>
                <w:i w:val="0"/>
                <w:color w:val="000000"/>
                <w:kern w:val="0"/>
                <w:sz w:val="24"/>
                <w:szCs w:val="24"/>
                <w:u w:val="none"/>
                <w:lang w:val="en-US" w:eastAsia="zh-CN" w:bidi="ar"/>
              </w:rPr>
              <w:t>、</w:t>
            </w: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Style w:val="9"/>
                <w:rFonts w:hint="default" w:ascii="Times New Roman" w:hAnsi="Times New Roman" w:eastAsia="仿宋_GB2312" w:cs="Times New Roman"/>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8"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9</w:t>
            </w:r>
          </w:p>
        </w:tc>
        <w:tc>
          <w:tcPr>
            <w:tcW w:w="61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大普惠小微贷款支持力度。继续新增支农支小再贷款额度。将普惠小微贷款支持工具的资金支持比例由1%提高至2%，即由人民银行按相关地方法人银行普惠小微贷款余额增量（包括通过延期还本付息形成的普惠小微贷款）的2%提供资金支持，更好引导和支持地方法人银行发放普惠小微贷款。指导金融机构和大型企业支持中小微企业应收账款质押等融资，抓紧修订制度将商业汇票承兑期限由1年缩短至6个月，并加大再贴现支持力度，以供应链融资和银企合作支持大中小企业融通发展。</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Fonts w:hint="default" w:ascii="Times New Roman" w:hAnsi="Times New Roman" w:eastAsia="仿宋_GB2312" w:cs="Times New Roman"/>
                <w:i w:val="0"/>
                <w:color w:val="000000"/>
                <w:kern w:val="0"/>
                <w:sz w:val="24"/>
                <w:szCs w:val="24"/>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10</w:t>
            </w:r>
          </w:p>
        </w:tc>
        <w:tc>
          <w:tcPr>
            <w:tcW w:w="61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货币金融政策</w:t>
            </w: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继续推动实际贷款利率稳中有降。在用好前期降准资金、扩大信贷投放的基础上，充分发挥市场利率定价自律机制作用，持续释放贷款市场报价利率（LPR）形成机制改革效能，发挥存款利率市场化调整机制作用，引导金融机构将存款利率下降效果传导至贷款端，继续推动实际贷款利率稳中有降。</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Fonts w:hint="default" w:ascii="Times New Roman" w:hAnsi="Times New Roman" w:eastAsia="仿宋_GB2312" w:cs="Times New Roman"/>
                <w:i w:val="0"/>
                <w:color w:val="000000"/>
                <w:kern w:val="0"/>
                <w:sz w:val="24"/>
                <w:szCs w:val="24"/>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11</w:t>
            </w:r>
          </w:p>
        </w:tc>
        <w:tc>
          <w:tcPr>
            <w:tcW w:w="617"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提高资本市场融资效率。科学合理把握首次公开发行股票并上市（IPO）和再融资常态化。支持内地企业在香港上市，依法依规推进符合条件的平台企业赴境外上市。继续支持和鼓励金融机构发行金融债券，建立“三农”、小微企业、绿色、双创金融债券绿色通道，为重点领域企业提供融资支持。督促指导银行间债券市场和交易所债券市场各基础设施全面梳理收费项目，对民营企业债券融资交易费用能免尽免，进一步释放支持民营企业的信号。</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Fonts w:hint="default" w:ascii="Times New Roman" w:hAnsi="Times New Roman" w:eastAsia="仿宋_GB2312" w:cs="Times New Roman"/>
                <w:i w:val="0"/>
                <w:color w:val="000000"/>
                <w:kern w:val="0"/>
                <w:sz w:val="24"/>
                <w:szCs w:val="24"/>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6"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12</w:t>
            </w:r>
          </w:p>
        </w:tc>
        <w:tc>
          <w:tcPr>
            <w:tcW w:w="61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大金融机构对基础设施建设和重大项目的支持力度。政策性开发性银行要优化贷款结构，投放更多更长期限贷款；引导商业银行进一步增加贷款投放、延长贷款期限；鼓励保险公司等发挥长期资金优势，加大对水利、水运、公路、物流等基础设施建设和重大项目的支持力度。</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Fonts w:hint="default" w:ascii="Times New Roman" w:hAnsi="Times New Roman" w:eastAsia="仿宋_GB2312" w:cs="Times New Roman"/>
                <w:i w:val="0"/>
                <w:color w:val="000000"/>
                <w:kern w:val="0"/>
                <w:sz w:val="24"/>
                <w:szCs w:val="24"/>
                <w:u w:val="none"/>
                <w:lang w:val="en-US" w:eastAsia="zh-CN" w:bidi="ar"/>
              </w:rPr>
              <w:t>、市发改委、市交通局、市水利局、</w:t>
            </w:r>
            <w:r>
              <w:rPr>
                <w:rFonts w:hint="eastAsia" w:ascii="Times New Roman" w:hAnsi="Times New Roman" w:eastAsia="仿宋_GB2312" w:cs="Times New Roman"/>
                <w:i w:val="0"/>
                <w:color w:val="000000"/>
                <w:kern w:val="0"/>
                <w:sz w:val="24"/>
                <w:szCs w:val="24"/>
                <w:u w:val="none"/>
                <w:lang w:val="en-US" w:eastAsia="zh-CN" w:bidi="ar"/>
              </w:rPr>
              <w:t>银保监阜新分局</w:t>
            </w:r>
            <w:r>
              <w:rPr>
                <w:rFonts w:hint="default" w:ascii="Times New Roman" w:hAnsi="Times New Roman" w:eastAsia="仿宋_GB2312" w:cs="Times New Roman"/>
                <w:i w:val="0"/>
                <w:color w:val="000000"/>
                <w:kern w:val="0"/>
                <w:sz w:val="24"/>
                <w:szCs w:val="24"/>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稳投资促消费等政策</w:t>
            </w: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快推进一批论证成熟的水利工程项目。2022年再开工一批已纳入规划、条件成熟的项目，包括南水北调后续工程等重大引调水、骨干防洪减灾、病险水库除险加固、灌区建设和改造等工程。进一步完善工程项目清单，加强组织实施、协调推动并优化工作流程，切实提高水资源保障和防灾减灾能力。</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市水利局、市发改委、市财政局、市自然资源局、市生态环境局负责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7"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14</w:t>
            </w:r>
          </w:p>
        </w:tc>
        <w:tc>
          <w:tcPr>
            <w:tcW w:w="61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稳投资促消费等政策</w:t>
            </w:r>
          </w:p>
        </w:tc>
        <w:tc>
          <w:tcPr>
            <w:tcW w:w="653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快推动交通基础设施投资。对沿江沿海沿边及港口航道等综合立体交通网工程，加强资源要素保障，优化审批程序，抓紧推动上马实施，确保应开尽开、能开尽开。支持中国国家铁路集团有限公司发行3000亿元铁路建设债券。启动新一轮农村公路建设和改造，在完成今年目标任务的基础上，进一步加强金融等政策支持，再新增完成新改建农村公路3万公里、实施农村公路安全生命防护工程3万公里、改造农村公路危桥3000座。</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市发改委、市财政局、市交通局、</w:t>
            </w: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Fonts w:hint="default" w:ascii="Times New Roman" w:hAnsi="Times New Roman" w:eastAsia="仿宋_GB2312" w:cs="Times New Roman"/>
                <w:i w:val="0"/>
                <w:color w:val="000000"/>
                <w:kern w:val="0"/>
                <w:sz w:val="24"/>
                <w:szCs w:val="24"/>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15</w:t>
            </w:r>
          </w:p>
        </w:tc>
        <w:tc>
          <w:tcPr>
            <w:tcW w:w="617"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因地制宜继续推进城市地下综合管廊建设。指导各地在城市老旧管网改造等工作中协同推进管廊建设，在城市新区根据功能需求积极发展干、支线管廊，合理布局管廊系统，统筹各类管线敷设。加快明确入廊收费政策，多措并举解决投融资受阻问题，推动实施一批具备条件的地下综合管廊项目。</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市住建局、市发改委、市财政局等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7"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16</w:t>
            </w:r>
          </w:p>
        </w:tc>
        <w:tc>
          <w:tcPr>
            <w:tcW w:w="617"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稳定和扩大民间投资。启动编制国家重大基础设施发展规划，扎实开展基础设施高质量发展试点，有力有序推进“十四五”规划102项重大工程实施，鼓励和吸引更多社会资本参与国家重大工程项目。在供应链产业链招投标项目中对大中小企业联合体给予倾斜，鼓励民营企业充分发挥自身优势参与攻关。2022年新增支持500家左右专精特新“小巨人”企业。鼓励民间投资以城市基础设施等为重点，通过综合开发模式参与重点领域项目建设。</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市发改委、市科技局、市工信局、市财政局等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6"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17</w:t>
            </w:r>
          </w:p>
        </w:tc>
        <w:tc>
          <w:tcPr>
            <w:tcW w:w="617"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促进平台经济规范健康发展。出台支持平台经济规范健康发展的具体措施，在防止资本无序扩张的前提下设立“红绿灯”，维护市场竞争秩序，以公平竞争促进平台经济规范健康发展。充分发挥平台经济的稳就业作用，稳定平台企业及其共生中小微企业的发展预期，以平台企业发展带动中小微企业纾困。引导平台企业在疫情防控中做好防疫物资和重要民生商品保供“最后一公里”的线上线下联动。鼓励平台企业加快人工智能、云计算、区块链、操作系统、处理器等领域技术研发突破。</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市发改委、市委网信办、市科技局、市工信局、市交通局、市人社局、市商务局、</w:t>
            </w:r>
            <w:r>
              <w:rPr>
                <w:rFonts w:hint="eastAsia" w:ascii="Times New Roman" w:hAnsi="Times New Roman" w:eastAsia="仿宋_GB2312" w:cs="Times New Roman"/>
                <w:i w:val="0"/>
                <w:color w:val="000000"/>
                <w:kern w:val="0"/>
                <w:sz w:val="20"/>
                <w:szCs w:val="20"/>
                <w:u w:val="none"/>
                <w:lang w:val="en-US" w:eastAsia="zh-CN" w:bidi="ar"/>
              </w:rPr>
              <w:t>人民银行阜新中心支行</w:t>
            </w:r>
            <w:r>
              <w:rPr>
                <w:rFonts w:hint="default" w:ascii="Times New Roman" w:hAnsi="Times New Roman" w:eastAsia="仿宋_GB2312" w:cs="Times New Roman"/>
                <w:i w:val="0"/>
                <w:color w:val="000000"/>
                <w:kern w:val="0"/>
                <w:sz w:val="20"/>
                <w:szCs w:val="20"/>
                <w:u w:val="none"/>
                <w:lang w:val="en-US" w:eastAsia="zh-CN" w:bidi="ar"/>
              </w:rPr>
              <w:t>、</w:t>
            </w:r>
            <w:r>
              <w:rPr>
                <w:rFonts w:hint="eastAsia" w:ascii="Times New Roman" w:hAnsi="Times New Roman" w:eastAsia="仿宋_GB2312" w:cs="Times New Roman"/>
                <w:i w:val="0"/>
                <w:color w:val="000000"/>
                <w:kern w:val="0"/>
                <w:sz w:val="20"/>
                <w:szCs w:val="20"/>
                <w:u w:val="none"/>
                <w:lang w:val="en-US" w:eastAsia="zh-CN" w:bidi="ar"/>
              </w:rPr>
              <w:t>市市场监管局</w:t>
            </w:r>
            <w:r>
              <w:rPr>
                <w:rFonts w:hint="default" w:ascii="Times New Roman" w:hAnsi="Times New Roman" w:eastAsia="仿宋_GB2312" w:cs="Times New Roman"/>
                <w:i w:val="0"/>
                <w:color w:val="000000"/>
                <w:kern w:val="0"/>
                <w:sz w:val="20"/>
                <w:szCs w:val="20"/>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2"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18</w:t>
            </w:r>
          </w:p>
        </w:tc>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稳投资促消费等政策</w:t>
            </w: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稳定增加汽车、家电等大宗消费。各地区不得新增汽车限购措施，已实施限购的地区逐步增加汽车增量指标数量、放宽购车人员资格限制，鼓励实施城区、郊区指标差异化政策。加快出台推动汽车由购买管理向使用管理转变的政策文件。全面取消二手车限迁政策，在全国范围取消对符合国五排放标准小型非营运二手车的迁入限制，完善二手车市场主体登记注册、备案和车辆交易登记管理规定。支持汽车整车进口口岸地区开展平行进口业务，完善平行进口汽车环保信息公开制度。对皮卡车进城实施精细化管理，研究进一步放宽皮卡车进城限制。研究今年内对一定排量以下乘用车减征车辆购置税的支持政策。优化新能源汽车充电桩（站）投资建设运营模式，逐步实现所有小区和经营性停车场充电设施全覆盖，加快推进高速公路服务区、客运枢纽等区域充电桩（站）建设。鼓励家电生产企业开展回收目标责任制行动，引导金融机构提升金融服务能力，更好满足消费升级需求。</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市发改委、市工信局、市公安局、市财政局、市住建局、市交通局、市商务局、</w:t>
            </w: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Fonts w:hint="default" w:ascii="Times New Roman" w:hAnsi="Times New Roman" w:eastAsia="仿宋_GB2312" w:cs="Times New Roman"/>
                <w:i w:val="0"/>
                <w:color w:val="000000"/>
                <w:kern w:val="0"/>
                <w:sz w:val="24"/>
                <w:szCs w:val="24"/>
                <w:u w:val="none"/>
                <w:lang w:val="en-US" w:eastAsia="zh-CN" w:bidi="ar"/>
              </w:rPr>
              <w:t>、市税务局等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19</w:t>
            </w:r>
          </w:p>
        </w:tc>
        <w:tc>
          <w:tcPr>
            <w:tcW w:w="61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保粮食能源安全政策</w:t>
            </w: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健全完善粮食收益保障等政策。针对当前农资价格依然高企情况，在前期已发放200亿元农资补贴的基础上，及时发放第二批100亿元农资补贴，弥补成本上涨带来的种粮收益下降。积极做好钾肥进口工作。完善最低收购价执行预案，落实好2022年适当提高稻谷、小麦最低收购价水平的政策要求，根据市场形势及时启动收购，保护农民种粮积极性。优化种粮补贴政策，健全种粮农民补贴政策框架。</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市发改委、市财政局、市农业农村局等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8"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20</w:t>
            </w:r>
          </w:p>
        </w:tc>
        <w:tc>
          <w:tcPr>
            <w:tcW w:w="617"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确保安全清洁高效利用的前提下有序释放煤炭优质产能。建立健全煤炭产量激励约束政策机制。依法依规加快保供煤矿手续办理，在确保安全生产和生态安全的前提下支持符合条件的露天和井工煤矿项目释放产能。尽快调整核增产能政策，支持具备安全生产条件的煤矿提高生产能力，加快煤矿优质产能释放，保障迎峰度夏电力电煤供应安全。</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2"/>
                <w:szCs w:val="22"/>
                <w:u w:val="none"/>
              </w:rPr>
            </w:pPr>
            <w:r>
              <w:rPr>
                <w:rFonts w:hint="default" w:ascii="Times New Roman" w:hAnsi="Times New Roman" w:eastAsia="仿宋_GB2312" w:cs="Times New Roman"/>
                <w:i w:val="0"/>
                <w:color w:val="000000"/>
                <w:kern w:val="0"/>
                <w:sz w:val="22"/>
                <w:szCs w:val="22"/>
                <w:u w:val="none"/>
                <w:lang w:val="en-US" w:eastAsia="zh-CN" w:bidi="ar"/>
              </w:rPr>
              <w:t>市发改委、市财政局、市自然资源局、市生态环境局、市煤炭转型局等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1"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21</w:t>
            </w:r>
          </w:p>
        </w:tc>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保粮食能源安全政策</w:t>
            </w: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抓紧推动实施一批能源项目。推动能源领域基本具备条件今年可开工的重大项目尽快实施。积极稳妥推进金沙江龙盘等水电项目前期研究论证和设计优化工作。加快推动以沙漠、戈壁、荒漠地区为重点的大型风电光伏基地建设，近期抓紧启动第二批项目，统筹安排大型风光电基地建设项目用地用林用草用水，按程序核准和开工建设基地项目、煤电项目和特高压输电通道。重点布局一批对电力系统安全保障作用强、对新能源规模化发展促进作用大、经济指标相对优越的抽水蓄能电站，加快条件成熟项目开工建设。加快推进张北至胜利、川渝主网架交流工程，以及陇东至山东、金上至湖北直流工程等跨省区电网项目规划和前期工作。</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5"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22</w:t>
            </w:r>
          </w:p>
        </w:tc>
        <w:tc>
          <w:tcPr>
            <w:tcW w:w="617"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提高煤炭储备能力和水平。用好支持煤炭清洁高效利用专项再贷款和合格银行贷款。压实地方储备责任。</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市发改委、市财政局、</w:t>
            </w: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Fonts w:hint="default" w:ascii="Times New Roman" w:hAnsi="Times New Roman" w:eastAsia="仿宋_GB2312" w:cs="Times New Roman"/>
                <w:i w:val="0"/>
                <w:color w:val="000000"/>
                <w:kern w:val="0"/>
                <w:sz w:val="24"/>
                <w:szCs w:val="24"/>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3"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23</w:t>
            </w:r>
          </w:p>
        </w:tc>
        <w:tc>
          <w:tcPr>
            <w:tcW w:w="617"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加强原油等能源资源储备能力。谋划储备项目并尽早开工。推进政府储备项目建设，已建成项目尽快具备储备能力。</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市发改委、市财政局等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9"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24</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保产业链供应链稳定政策</w:t>
            </w: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降低市场主体用水用电用网等成本。全面落实对受疫情影响暂时出现生产经营困难的小微企业和个体工商户用水、用电、用气“欠费不停供”政策，设立6个月的费用缓缴期，并可根据当地实际进一步延长，缓缴期间免收欠费滞纳金。指导地方对中小微企业、个体工商户水电气等费用予以补贴。清理规范城镇供水供电供气供暖等行业收费，取消不合理收费，规范政府定价和经营者价格收费行为，对保留的收费项目实行清单制管理。2022年中小微企业宽带和专线平均资费再降10%。在招投标领域全面推行保函（保险）替代现金缴纳投标、履约、工程质量等保证金，鼓励招标人对中小微企业投标人免除投标担保。</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市发改委、市工信局、市财政局、市住建局、市国资委、</w:t>
            </w:r>
            <w:r>
              <w:rPr>
                <w:rFonts w:hint="eastAsia" w:ascii="Times New Roman" w:hAnsi="Times New Roman" w:eastAsia="仿宋_GB2312" w:cs="Times New Roman"/>
                <w:i w:val="0"/>
                <w:color w:val="000000"/>
                <w:kern w:val="0"/>
                <w:sz w:val="24"/>
                <w:szCs w:val="24"/>
                <w:u w:val="none"/>
                <w:lang w:val="en-US" w:eastAsia="zh-CN" w:bidi="ar"/>
              </w:rPr>
              <w:t>市市场监管局</w:t>
            </w:r>
            <w:r>
              <w:rPr>
                <w:rFonts w:hint="default" w:ascii="Times New Roman" w:hAnsi="Times New Roman" w:eastAsia="仿宋_GB2312" w:cs="Times New Roman"/>
                <w:i w:val="0"/>
                <w:color w:val="000000"/>
                <w:kern w:val="0"/>
                <w:sz w:val="24"/>
                <w:szCs w:val="24"/>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1"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25</w:t>
            </w:r>
          </w:p>
        </w:tc>
        <w:tc>
          <w:tcPr>
            <w:tcW w:w="617" w:type="dxa"/>
            <w:vMerge w:val="restart"/>
            <w:tcBorders>
              <w:top w:val="single" w:color="000000" w:sz="4" w:space="0"/>
              <w:left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kern w:val="0"/>
                <w:sz w:val="24"/>
                <w:szCs w:val="24"/>
                <w:u w:val="none"/>
                <w:lang w:val="en-US" w:eastAsia="zh-CN" w:bidi="ar"/>
              </w:rPr>
            </w:pPr>
            <w:r>
              <w:rPr>
                <w:rFonts w:hint="default" w:ascii="Times New Roman" w:hAnsi="Times New Roman" w:eastAsia="仿宋_GB2312" w:cs="Times New Roman"/>
                <w:b/>
                <w:i w:val="0"/>
                <w:color w:val="000000"/>
                <w:kern w:val="0"/>
                <w:sz w:val="24"/>
                <w:szCs w:val="24"/>
                <w:u w:val="none"/>
                <w:lang w:val="en-US" w:eastAsia="zh-CN" w:bidi="ar"/>
              </w:rPr>
              <w:t>保产业链供应链稳定政策</w:t>
            </w:r>
          </w:p>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推动阶段性减免市场主体房屋租金。2022年对服务业小微企业和个体工商户承租国有房屋减免3—6个月租金；出租人减免租金的可按规定减免当年房产税、城镇土地使用税，并引导国有银行对减免租金的出租人视需要给予优惠利率质押贷款等支持。非国有房屋减免租金的可同等享受上述政策优惠。鼓励和引导各地区结合自身实际，拿出更多务实管用举措推动减免市场主体房屋租金。</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市住建局、市发改委、市财政局、市机关事务管理办、</w:t>
            </w:r>
            <w:r>
              <w:rPr>
                <w:rFonts w:hint="eastAsia" w:ascii="Times New Roman" w:hAnsi="Times New Roman" w:eastAsia="仿宋_GB2312" w:cs="Times New Roman"/>
                <w:i w:val="0"/>
                <w:color w:val="000000"/>
                <w:kern w:val="0"/>
                <w:sz w:val="20"/>
                <w:szCs w:val="20"/>
                <w:u w:val="none"/>
                <w:lang w:val="en-US" w:eastAsia="zh-CN" w:bidi="ar"/>
              </w:rPr>
              <w:t>人民银行阜新中心支行</w:t>
            </w:r>
            <w:r>
              <w:rPr>
                <w:rFonts w:hint="default" w:ascii="Times New Roman" w:hAnsi="Times New Roman" w:eastAsia="仿宋_GB2312" w:cs="Times New Roman"/>
                <w:i w:val="0"/>
                <w:color w:val="000000"/>
                <w:kern w:val="0"/>
                <w:sz w:val="20"/>
                <w:szCs w:val="20"/>
                <w:u w:val="none"/>
                <w:lang w:val="en-US" w:eastAsia="zh-CN" w:bidi="ar"/>
              </w:rPr>
              <w:t>、市国资委、市税务局、</w:t>
            </w:r>
            <w:r>
              <w:rPr>
                <w:rFonts w:hint="eastAsia" w:ascii="Times New Roman" w:hAnsi="Times New Roman" w:eastAsia="仿宋_GB2312" w:cs="Times New Roman"/>
                <w:i w:val="0"/>
                <w:color w:val="000000"/>
                <w:kern w:val="0"/>
                <w:sz w:val="20"/>
                <w:szCs w:val="20"/>
                <w:u w:val="none"/>
                <w:lang w:val="en-US" w:eastAsia="zh-CN" w:bidi="ar"/>
              </w:rPr>
              <w:t>银保监阜新分局</w:t>
            </w:r>
            <w:r>
              <w:rPr>
                <w:rFonts w:hint="default" w:ascii="Times New Roman" w:hAnsi="Times New Roman" w:eastAsia="仿宋_GB2312" w:cs="Times New Roman"/>
                <w:i w:val="0"/>
                <w:color w:val="000000"/>
                <w:kern w:val="0"/>
                <w:sz w:val="20"/>
                <w:szCs w:val="20"/>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26</w:t>
            </w:r>
          </w:p>
        </w:tc>
        <w:tc>
          <w:tcPr>
            <w:tcW w:w="617"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大对民航等受疫情影响较大行业企业的纾困支持力度。在用好支持煤炭清洁高效利用、交通物流、科技创新、普惠养老等专项再贷款的同时，增加民航应急贷款额度1500亿元，并适当扩大支持范围，支持困难航空企业渡过难关。支持航空业发行2000亿元债券。统筹考虑民航基础设施建设需求等因素，研究解决资金短缺等问题；同时，研究提出向有关航空企业注资的具体方案。有序增加国际客运航班数量，为便利中外人员往来和对外经贸交流合作创造条件。鼓励银行向文化旅游、餐饮住宿等其他受疫情影响较大行业企业发放贷款。</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市发改委、市财政局、市交通局、</w:t>
            </w: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Fonts w:hint="default" w:ascii="Times New Roman" w:hAnsi="Times New Roman" w:eastAsia="仿宋_GB2312" w:cs="Times New Roman"/>
                <w:i w:val="0"/>
                <w:color w:val="000000"/>
                <w:kern w:val="0"/>
                <w:sz w:val="24"/>
                <w:szCs w:val="24"/>
                <w:u w:val="none"/>
                <w:lang w:val="en-US" w:eastAsia="zh-CN" w:bidi="ar"/>
              </w:rPr>
              <w:t>、</w:t>
            </w:r>
            <w:r>
              <w:rPr>
                <w:rFonts w:hint="eastAsia" w:ascii="Times New Roman" w:hAnsi="Times New Roman" w:eastAsia="仿宋_GB2312" w:cs="Times New Roman"/>
                <w:i w:val="0"/>
                <w:color w:val="000000"/>
                <w:kern w:val="0"/>
                <w:sz w:val="24"/>
                <w:szCs w:val="24"/>
                <w:u w:val="none"/>
                <w:lang w:val="en-US" w:eastAsia="zh-CN" w:bidi="ar"/>
              </w:rPr>
              <w:t>银保监阜新分局</w:t>
            </w:r>
            <w:r>
              <w:rPr>
                <w:rFonts w:hint="default" w:ascii="Times New Roman" w:hAnsi="Times New Roman" w:eastAsia="仿宋_GB2312" w:cs="Times New Roman"/>
                <w:i w:val="0"/>
                <w:color w:val="000000"/>
                <w:kern w:val="0"/>
                <w:sz w:val="24"/>
                <w:szCs w:val="24"/>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27</w:t>
            </w:r>
          </w:p>
        </w:tc>
        <w:tc>
          <w:tcPr>
            <w:tcW w:w="61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优化企业复工达产政策。疫情中高风险地区要建立完善运行保障企业、防疫物资生产企业、连续生产运行企业、产业链供应链重点企业、重点外贸外资企业、“专精特新”中小企业等重点企业复工达产“白名单”制度，及时总结推广“点对点”运输、不见面交接、绿色通道等经验做法，细化实化服务“白名单”企业措施，推动部省联动和区域互认，协同推动产业链供应链企业复工达产。积极引导各地区落实属地责任，在发生疫情时鼓励具备条件的企业进行闭环生产，保障其稳定生产，原则上不要求停产；企业所在地政府要做好疫情防控指导，加强企业员工返岗、物流保障、上下游衔接等方面服务，尽量减少疫情对企业正常生产经营的影响。</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市发改委、市工信局、市交通局、市商务局等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28</w:t>
            </w:r>
          </w:p>
        </w:tc>
        <w:tc>
          <w:tcPr>
            <w:tcW w:w="617"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保产业链供应链稳定政策</w:t>
            </w: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完善交通物流保通保畅政策。全面取消对来自疫情低风险地区货运车辆的防疫通行限制，着力打通制造业物流瓶颈，加快产成品库存周转进度；不得擅自阻断或关闭高速公路、普通公路、航道船闸，严禁硬隔离县乡村公路，不得擅自关停高速公路服务区、港口码头、铁路车站和民用运输机场。严禁限制疫情低风险地区人员正常流动。对来自或进出疫情中高风险地区所在地市的货运车辆，落实“即采即走即追”制度。客货运司机、快递员、船员到异地免费检测点进行核酸检测和抗原检测，当地政府视同本地居民纳入检测范围、享受同等政策，所需费用由地方财政予以保障。</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市交通局等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2"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29</w:t>
            </w:r>
          </w:p>
        </w:tc>
        <w:tc>
          <w:tcPr>
            <w:tcW w:w="617" w:type="dxa"/>
            <w:vMerge w:val="continue"/>
            <w:tcBorders>
              <w:left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统筹加大对物流枢纽和物流企业的支持力度。加快宁波舟山大宗商品储运基地建设，开展大宗商品储运基地整体布局规划研究。2022年，中央财政安排50亿元左右，择优支持全国性重点枢纽城市，提升枢纽的货物集散、仓储、中转运输、应急保障能力，引导加快推进多式联运融合发展，降低综合货运成本。2022年，中央财政在服务业发展资金中安排约25亿元支持加快农产品供应链体系建设，安排约38亿元支持实施县域商业建设行动。加快1000亿元交通物流专项再贷款政策落地，支持交通物流等企业融资，加大结构性货币政策工具对稳定供应链的支持。在农产品主产区和特色农产品优势区支持建设一批田头小型冷藏保鲜设施，推动建设一批产销冷链集配中心。</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市发改委、市财政局、</w:t>
            </w:r>
            <w:r>
              <w:rPr>
                <w:rFonts w:hint="eastAsia" w:ascii="Times New Roman" w:hAnsi="Times New Roman" w:eastAsia="仿宋_GB2312" w:cs="Times New Roman"/>
                <w:i w:val="0"/>
                <w:color w:val="000000"/>
                <w:kern w:val="0"/>
                <w:sz w:val="24"/>
                <w:szCs w:val="24"/>
                <w:u w:val="none"/>
                <w:lang w:val="en-US" w:eastAsia="zh-CN" w:bidi="ar"/>
              </w:rPr>
              <w:t>人民银行阜新中心支行</w:t>
            </w:r>
            <w:r>
              <w:rPr>
                <w:rFonts w:hint="default" w:ascii="Times New Roman" w:hAnsi="Times New Roman" w:eastAsia="仿宋_GB2312" w:cs="Times New Roman"/>
                <w:i w:val="0"/>
                <w:color w:val="000000"/>
                <w:kern w:val="0"/>
                <w:sz w:val="24"/>
                <w:szCs w:val="24"/>
                <w:u w:val="none"/>
                <w:lang w:val="en-US" w:eastAsia="zh-CN" w:bidi="ar"/>
              </w:rPr>
              <w:t>、市交通局、市农业农村局、市商务局等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8"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30</w:t>
            </w:r>
          </w:p>
        </w:tc>
        <w:tc>
          <w:tcPr>
            <w:tcW w:w="617"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加快推进重大外资项目积极吸引外商投资。在已纳入工作专班、开辟绿色通道推进的重大外资项目基础上，充分发挥重大外资项目牵引带动作用，尽快论证启动投资数额大、带动作用强、产业链上下游覆盖面广的重大外资项目。加快修订《鼓励外商投资产业目录》，引导外资更多投向先进制造、科技创新等领域以及中西部和东北地区，支持外商投资设立高新技术研发中心等。进一步拓宽企业跨境融资渠道，支持符合条件的高新技术和“专精特新”企业开展外债便利化额度试点。建立完善与在华外国商协会、外资企业常态化交流机制，积极解决外资企业在华营商便利等问题，进一步稳住和扩大外商投资。</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市发改委、市商务局、市贸促会等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1"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31</w:t>
            </w:r>
          </w:p>
        </w:tc>
        <w:tc>
          <w:tcPr>
            <w:tcW w:w="61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u w:val="none"/>
              </w:rPr>
            </w:pPr>
            <w:r>
              <w:rPr>
                <w:rFonts w:hint="default" w:ascii="Times New Roman" w:hAnsi="Times New Roman" w:eastAsia="仿宋_GB2312" w:cs="Times New Roman"/>
                <w:b/>
                <w:i w:val="0"/>
                <w:color w:val="000000"/>
                <w:kern w:val="0"/>
                <w:sz w:val="24"/>
                <w:szCs w:val="24"/>
                <w:u w:val="none"/>
                <w:lang w:val="en-US" w:eastAsia="zh-CN" w:bidi="ar"/>
              </w:rPr>
              <w:t>保基本民生政策</w:t>
            </w: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实施住房公积金阶段性支持政策。受疫情影响的企业，可按规定申请缓缴住房公积金，到期后进行补缴。在此期间，缴存职工正常提取和申请住房公积金贷款，不受缓缴影响。受疫情影响的缴存人，不能正常偿还住房公积金贷款的，不作逾期处理，不纳入征信记录。各地区可根据本地实际情况，提高住房公积金租房提取额度，更好满足实际需要。</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市住房公积金管理中心、市财政局、</w:t>
            </w:r>
            <w:r>
              <w:rPr>
                <w:rFonts w:hint="eastAsia" w:ascii="Times New Roman" w:hAnsi="Times New Roman" w:eastAsia="仿宋_GB2312" w:cs="Times New Roman"/>
                <w:i w:val="0"/>
                <w:color w:val="000000"/>
                <w:kern w:val="0"/>
                <w:sz w:val="20"/>
                <w:szCs w:val="20"/>
                <w:u w:val="none"/>
                <w:lang w:val="en-US" w:eastAsia="zh-CN" w:bidi="ar"/>
              </w:rPr>
              <w:t>人民银行阜新中心支行</w:t>
            </w:r>
            <w:r>
              <w:rPr>
                <w:rFonts w:hint="default" w:ascii="Times New Roman" w:hAnsi="Times New Roman" w:eastAsia="仿宋_GB2312" w:cs="Times New Roman"/>
                <w:i w:val="0"/>
                <w:color w:val="000000"/>
                <w:kern w:val="0"/>
                <w:sz w:val="20"/>
                <w:szCs w:val="20"/>
                <w:u w:val="none"/>
                <w:lang w:val="en-US" w:eastAsia="zh-CN" w:bidi="ar"/>
              </w:rPr>
              <w:t>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5"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32</w:t>
            </w:r>
          </w:p>
        </w:tc>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完善农业转移人口和农村劳动力就业创业支持政策。加强对吸纳农业转移人口较多区域、行业的财政和金融支持，中央财政农业转移人口市民化奖励资金安排400亿元，推动健全常住地提供基本公共服务制度，将符合条件的新市民纳入创业担保贷款扶持范围。依据国土空间规划和上一年度进城落户人口数量，合理安排各类城镇年度新增建设用地规模。拓宽农村劳动力就地就近就业渠道。重大工程建设、以工代赈项目优先吸纳农村劳动力。</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市财政局、市人社局、市自然资源局、市农业农村局、</w:t>
            </w:r>
            <w:r>
              <w:rPr>
                <w:rFonts w:hint="eastAsia" w:ascii="Times New Roman" w:hAnsi="Times New Roman" w:eastAsia="仿宋_GB2312" w:cs="Times New Roman"/>
                <w:i w:val="0"/>
                <w:color w:val="000000"/>
                <w:kern w:val="0"/>
                <w:sz w:val="20"/>
                <w:szCs w:val="20"/>
                <w:u w:val="none"/>
                <w:lang w:val="en-US" w:eastAsia="zh-CN" w:bidi="ar"/>
              </w:rPr>
              <w:t>人民银行阜新中心支行</w:t>
            </w:r>
            <w:r>
              <w:rPr>
                <w:rFonts w:hint="default" w:ascii="Times New Roman" w:hAnsi="Times New Roman" w:eastAsia="仿宋_GB2312" w:cs="Times New Roman"/>
                <w:i w:val="0"/>
                <w:color w:val="000000"/>
                <w:kern w:val="0"/>
                <w:sz w:val="20"/>
                <w:szCs w:val="20"/>
                <w:u w:val="none"/>
                <w:lang w:val="en-US" w:eastAsia="zh-CN" w:bidi="ar"/>
              </w:rPr>
              <w:t>、</w:t>
            </w:r>
            <w:r>
              <w:rPr>
                <w:rFonts w:hint="eastAsia" w:ascii="Times New Roman" w:hAnsi="Times New Roman" w:eastAsia="仿宋_GB2312" w:cs="Times New Roman"/>
                <w:i w:val="0"/>
                <w:color w:val="000000"/>
                <w:kern w:val="0"/>
                <w:sz w:val="20"/>
                <w:szCs w:val="20"/>
                <w:u w:val="none"/>
                <w:lang w:val="en-US" w:eastAsia="zh-CN" w:bidi="ar"/>
              </w:rPr>
              <w:t>银保监阜新分局</w:t>
            </w:r>
            <w:r>
              <w:rPr>
                <w:rFonts w:hint="default" w:ascii="Times New Roman" w:hAnsi="Times New Roman" w:eastAsia="仿宋_GB2312" w:cs="Times New Roman"/>
                <w:i w:val="0"/>
                <w:color w:val="000000"/>
                <w:kern w:val="0"/>
                <w:sz w:val="20"/>
                <w:szCs w:val="20"/>
                <w:u w:val="none"/>
                <w:lang w:val="en-US" w:eastAsia="zh-CN" w:bidi="ar"/>
              </w:rPr>
              <w:t>市发改委（市金融局）等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1" w:hRule="atLeast"/>
        </w:trPr>
        <w:tc>
          <w:tcPr>
            <w:tcW w:w="4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33</w:t>
            </w:r>
          </w:p>
        </w:tc>
        <w:tc>
          <w:tcPr>
            <w:tcW w:w="61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b/>
                <w:i w:val="0"/>
                <w:color w:val="000000"/>
                <w:sz w:val="24"/>
                <w:szCs w:val="24"/>
                <w:u w:val="none"/>
              </w:rPr>
            </w:pPr>
          </w:p>
        </w:tc>
        <w:tc>
          <w:tcPr>
            <w:tcW w:w="65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完善社会民生兜底保障措施。指导各地落实好社会救助和保障标准与物价上涨挂钩联动机制，及时足额发放补贴，保障低收入群体基本生活。用好中央财政下拨的1547亿元救助补助资金，压实地方政府责任，通过财政资金直达机制，及时足额发放到需要帮扶救助的群众手中。做好受灾人员生活救助，精准做好需要救助保障的困难群体帮扶工作，对临时生活困难群众给予有针对性帮扶。针对当前部分地区因局部聚集性疫情加强管控，同步推进疫情防控和保障群众基本生活，做好米面油、蔬菜、肉蛋奶等生活物资保供稳价工作。统筹发展和安全，抓好安全生产责任落实，深入开展安全大检查，严防交通、建筑、煤矿、燃气等方面安全事故，开展自建房安全专项整治，切实保障人民群众生命财产安全。</w:t>
            </w:r>
          </w:p>
        </w:tc>
        <w:tc>
          <w:tcPr>
            <w:tcW w:w="2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0"/>
                <w:szCs w:val="20"/>
                <w:u w:val="none"/>
              </w:rPr>
            </w:pPr>
            <w:r>
              <w:rPr>
                <w:rFonts w:hint="default" w:ascii="Times New Roman" w:hAnsi="Times New Roman" w:eastAsia="仿宋_GB2312" w:cs="Times New Roman"/>
                <w:i w:val="0"/>
                <w:color w:val="000000"/>
                <w:kern w:val="0"/>
                <w:sz w:val="20"/>
                <w:szCs w:val="20"/>
                <w:u w:val="none"/>
                <w:lang w:val="en-US" w:eastAsia="zh-CN" w:bidi="ar"/>
              </w:rPr>
              <w:t>市发改委、市民政局、市财政局、市住建局、市商务局、市应急局等</w:t>
            </w:r>
          </w:p>
        </w:tc>
      </w:tr>
    </w:tbl>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仿宋_GB2312"/>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阜新市人民政府发布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ZGE4YjdmNmUzNTYwZGM1MTk5YjNjMDIzOTExNTUifQ=="/>
  </w:docVars>
  <w:rsids>
    <w:rsidRoot w:val="75550DD9"/>
    <w:rsid w:val="75550D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font3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1403</Words>
  <Characters>1427</Characters>
  <Lines>0</Lines>
  <Paragraphs>0</Paragraphs>
  <TotalTime>3</TotalTime>
  <ScaleCrop>false</ScaleCrop>
  <LinksUpToDate>false</LinksUpToDate>
  <CharactersWithSpaces>1432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2022-12-30T13:07:00Z</dcterms:created>
  <dc:creator>黑曜石</dc:creator>
  <cp:lastModifiedBy>黑曜石</cp:lastModifiedBy>
  <dcterms:modified xsi:type="dcterms:W3CDTF">2022-12-30T13:23:44Z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2F97905388A3464EA85957F3F80EBD18</vt:lpwstr>
  </property>
</Properties>
</file>